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792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0"/>
      </w:tblGrid>
      <w:tr w:rsidR="006B0A57">
        <w:trPr>
          <w:trHeight w:val="2112"/>
        </w:trPr>
        <w:tc>
          <w:tcPr>
            <w:tcW w:w="15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B0A57" w:rsidRDefault="00E8766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Звіт про виконання Програми підтримки внутрішньо переміщених осіб у Чернігівській області на 2023-2024 роки, за 2023 рік</w:t>
            </w:r>
          </w:p>
          <w:p w:rsidR="006B0A57" w:rsidRDefault="00E8766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Напрями діяльності та заходи обласної  Програми підтримки внутрішньо переміщених осіб у Чернігівській області на 2023-2024 роки»</w:t>
            </w:r>
          </w:p>
          <w:p w:rsidR="006B0A57" w:rsidRDefault="00E87665">
            <w:pPr>
              <w:spacing w:after="0" w:line="240" w:lineRule="auto"/>
              <w:ind w:firstLine="567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>(назва програми)</w:t>
            </w:r>
          </w:p>
        </w:tc>
      </w:tr>
    </w:tbl>
    <w:tbl>
      <w:tblPr>
        <w:tblStyle w:val="af6"/>
        <w:tblpPr w:leftFromText="180" w:rightFromText="180" w:vertAnchor="page" w:horzAnchor="margin" w:tblpX="-454" w:tblpY="2377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283"/>
        <w:gridCol w:w="370"/>
        <w:gridCol w:w="55"/>
        <w:gridCol w:w="941"/>
        <w:gridCol w:w="52"/>
        <w:gridCol w:w="1229"/>
        <w:gridCol w:w="142"/>
        <w:gridCol w:w="570"/>
        <w:gridCol w:w="43"/>
        <w:gridCol w:w="567"/>
        <w:gridCol w:w="15"/>
        <w:gridCol w:w="269"/>
        <w:gridCol w:w="49"/>
        <w:gridCol w:w="320"/>
        <w:gridCol w:w="56"/>
        <w:gridCol w:w="1127"/>
        <w:gridCol w:w="7"/>
        <w:gridCol w:w="1417"/>
        <w:gridCol w:w="39"/>
        <w:gridCol w:w="606"/>
        <w:gridCol w:w="64"/>
        <w:gridCol w:w="538"/>
        <w:gridCol w:w="29"/>
        <w:gridCol w:w="3913"/>
        <w:gridCol w:w="56"/>
      </w:tblGrid>
      <w:tr w:rsidR="006B0A57">
        <w:trPr>
          <w:trHeight w:val="697"/>
        </w:trPr>
        <w:tc>
          <w:tcPr>
            <w:tcW w:w="534" w:type="dxa"/>
            <w:vMerge w:val="restart"/>
          </w:tcPr>
          <w:p w:rsidR="006B0A57" w:rsidRDefault="00E87665">
            <w:r>
              <w:t>№ з/п</w:t>
            </w:r>
          </w:p>
        </w:tc>
        <w:tc>
          <w:tcPr>
            <w:tcW w:w="1417" w:type="dxa"/>
            <w:vMerge w:val="restart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Захід</w:t>
            </w:r>
          </w:p>
        </w:tc>
        <w:tc>
          <w:tcPr>
            <w:tcW w:w="1418" w:type="dxa"/>
            <w:vMerge w:val="restart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виконавець та строк виконання заходу</w:t>
            </w:r>
          </w:p>
        </w:tc>
        <w:tc>
          <w:tcPr>
            <w:tcW w:w="4252" w:type="dxa"/>
            <w:gridSpan w:val="10"/>
          </w:tcPr>
          <w:p w:rsidR="006B0A57" w:rsidRDefault="00E87665">
            <w:pPr>
              <w:jc w:val="center"/>
            </w:pPr>
            <w:r>
              <w:t>Бюджетні асигнування з урахуванням змін, тис. грн</w:t>
            </w:r>
          </w:p>
        </w:tc>
        <w:tc>
          <w:tcPr>
            <w:tcW w:w="4536" w:type="dxa"/>
            <w:gridSpan w:val="13"/>
          </w:tcPr>
          <w:p w:rsidR="006B0A57" w:rsidRDefault="00E87665">
            <w:pPr>
              <w:jc w:val="center"/>
            </w:pPr>
            <w:r>
              <w:t>Проведені видатки, тис. грн</w:t>
            </w:r>
          </w:p>
        </w:tc>
        <w:tc>
          <w:tcPr>
            <w:tcW w:w="3969" w:type="dxa"/>
            <w:gridSpan w:val="2"/>
            <w:vMerge w:val="restart"/>
          </w:tcPr>
          <w:p w:rsidR="006B0A57" w:rsidRDefault="00E87665">
            <w:pPr>
              <w:ind w:left="-108"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 виконання заходів (результативні показники виконання програми)</w:t>
            </w:r>
          </w:p>
        </w:tc>
      </w:tr>
      <w:tr w:rsidR="006B0A57">
        <w:trPr>
          <w:trHeight w:val="227"/>
        </w:trPr>
        <w:tc>
          <w:tcPr>
            <w:tcW w:w="534" w:type="dxa"/>
            <w:vMerge/>
          </w:tcPr>
          <w:p w:rsidR="006B0A57" w:rsidRDefault="006B0A57"/>
        </w:tc>
        <w:tc>
          <w:tcPr>
            <w:tcW w:w="1417" w:type="dxa"/>
            <w:vMerge/>
          </w:tcPr>
          <w:p w:rsidR="006B0A57" w:rsidRDefault="006B0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0A57" w:rsidRDefault="006B0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3969" w:type="dxa"/>
            <w:gridSpan w:val="9"/>
          </w:tcPr>
          <w:p w:rsidR="006B0A57" w:rsidRDefault="00E87665">
            <w:pPr>
              <w:jc w:val="center"/>
            </w:pPr>
            <w:r>
              <w:rPr>
                <w:sz w:val="20"/>
                <w:szCs w:val="20"/>
              </w:rPr>
              <w:t>у тому числі</w:t>
            </w:r>
          </w:p>
        </w:tc>
        <w:tc>
          <w:tcPr>
            <w:tcW w:w="284" w:type="dxa"/>
            <w:gridSpan w:val="2"/>
            <w:vMerge w:val="restart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4252" w:type="dxa"/>
            <w:gridSpan w:val="11"/>
          </w:tcPr>
          <w:p w:rsidR="006B0A57" w:rsidRDefault="00E87665">
            <w:pPr>
              <w:jc w:val="center"/>
            </w:pPr>
            <w:r>
              <w:rPr>
                <w:sz w:val="20"/>
                <w:szCs w:val="20"/>
              </w:rPr>
              <w:t>у тому числі</w:t>
            </w:r>
          </w:p>
        </w:tc>
        <w:tc>
          <w:tcPr>
            <w:tcW w:w="3969" w:type="dxa"/>
            <w:gridSpan w:val="2"/>
            <w:vMerge/>
          </w:tcPr>
          <w:p w:rsidR="006B0A57" w:rsidRDefault="006B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A57">
        <w:trPr>
          <w:cantSplit/>
          <w:trHeight w:val="2133"/>
        </w:trPr>
        <w:tc>
          <w:tcPr>
            <w:tcW w:w="534" w:type="dxa"/>
            <w:vMerge/>
          </w:tcPr>
          <w:p w:rsidR="006B0A57" w:rsidRDefault="006B0A57"/>
        </w:tc>
        <w:tc>
          <w:tcPr>
            <w:tcW w:w="1417" w:type="dxa"/>
            <w:vMerge/>
          </w:tcPr>
          <w:p w:rsidR="006B0A57" w:rsidRDefault="006B0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0A57" w:rsidRDefault="006B0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6B0A57" w:rsidRDefault="006B0A57"/>
        </w:tc>
        <w:tc>
          <w:tcPr>
            <w:tcW w:w="425" w:type="dxa"/>
            <w:gridSpan w:val="2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обласний бюджет</w:t>
            </w:r>
          </w:p>
        </w:tc>
        <w:tc>
          <w:tcPr>
            <w:tcW w:w="993" w:type="dxa"/>
            <w:gridSpan w:val="2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1371" w:type="dxa"/>
            <w:gridSpan w:val="2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бюджети сіл, селищ, міст районного підпорядкування </w:t>
            </w:r>
            <w:r>
              <w:rPr>
                <w:sz w:val="20"/>
                <w:szCs w:val="20"/>
              </w:rPr>
              <w:br/>
              <w:t>(в т.ч. об’єднаних територіальних громад)</w:t>
            </w:r>
          </w:p>
        </w:tc>
        <w:tc>
          <w:tcPr>
            <w:tcW w:w="613" w:type="dxa"/>
            <w:gridSpan w:val="2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567" w:type="dxa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284" w:type="dxa"/>
            <w:gridSpan w:val="2"/>
            <w:vMerge/>
          </w:tcPr>
          <w:p w:rsidR="006B0A57" w:rsidRDefault="006B0A57"/>
        </w:tc>
        <w:tc>
          <w:tcPr>
            <w:tcW w:w="425" w:type="dxa"/>
            <w:gridSpan w:val="3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обласний бюджет</w:t>
            </w:r>
          </w:p>
        </w:tc>
        <w:tc>
          <w:tcPr>
            <w:tcW w:w="1134" w:type="dxa"/>
            <w:gridSpan w:val="2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1417" w:type="dxa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бюджети сіл, селищ, міст районного підпорядкування </w:t>
            </w:r>
            <w:r>
              <w:rPr>
                <w:sz w:val="20"/>
                <w:szCs w:val="20"/>
              </w:rPr>
              <w:br/>
              <w:t>(в т.ч. об’єднаних територіальних громад)</w:t>
            </w:r>
          </w:p>
        </w:tc>
        <w:tc>
          <w:tcPr>
            <w:tcW w:w="709" w:type="dxa"/>
            <w:gridSpan w:val="3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567" w:type="dxa"/>
            <w:gridSpan w:val="2"/>
            <w:textDirection w:val="btLr"/>
          </w:tcPr>
          <w:p w:rsidR="006B0A57" w:rsidRDefault="00E8766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3969" w:type="dxa"/>
            <w:gridSpan w:val="2"/>
            <w:vMerge/>
          </w:tcPr>
          <w:p w:rsidR="006B0A57" w:rsidRDefault="006B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6B0A57"/>
        </w:tc>
        <w:tc>
          <w:tcPr>
            <w:tcW w:w="15536" w:type="dxa"/>
            <w:gridSpan w:val="26"/>
          </w:tcPr>
          <w:p w:rsidR="006B0A57" w:rsidRDefault="00E8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рік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B0A57" w:rsidRDefault="00E876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установами охорони здоров’я медичних послуг з первинної допомоги громадянам з числа ВПО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охорони здоров’я облдержадміністрації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Міські, селищні, сільські ради (за згодою)</w:t>
            </w:r>
          </w:p>
          <w:p w:rsidR="006B0A57" w:rsidRDefault="006B0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spacing w:line="21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З початку повномасштабного вторгнення росії в Україну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нутрішньо переміщеним особам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надаються необхідні медичні послуги. </w:t>
            </w:r>
          </w:p>
          <w:p w:rsidR="006B0A57" w:rsidRDefault="00E8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За оперативними даними закладів охорони здоров’я Чернігівської області у 2023 році медичні послуги отримали 9958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внутрішньо переміщених осіб.</w:t>
            </w:r>
          </w:p>
        </w:tc>
      </w:tr>
      <w:tr w:rsidR="006B0A57">
        <w:trPr>
          <w:gridAfter w:val="1"/>
          <w:wAfter w:w="56" w:type="dxa"/>
          <w:trHeight w:val="3143"/>
        </w:trPr>
        <w:tc>
          <w:tcPr>
            <w:tcW w:w="534" w:type="dxa"/>
          </w:tcPr>
          <w:p w:rsidR="006B0A57" w:rsidRDefault="00E876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Здійснення виїздів мо</w:t>
            </w:r>
            <w:r>
              <w:rPr>
                <w:rFonts w:ascii="Times New Roman" w:hAnsi="Times New Roman" w:cs="Times New Roman"/>
              </w:rPr>
              <w:t>більних медичних бригад в населені пункти області та місця компактного проживання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охорони здоров’я облдержадміністрації</w:t>
            </w:r>
          </w:p>
          <w:p w:rsidR="006B0A57" w:rsidRDefault="006B0A57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tabs>
                <w:tab w:val="left" w:pos="348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області медичними працівниками Центрів первинної медико-санітарної допомоги проводяться виїзди до віддалених населених пунктів області,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впроваджені спільні виїзди спеціалістів Управління охорони здоров’я Чернігівської ОДА та ДУ «Чернігівський обласний 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нтр контролю та профі-лактики хвороб МОЗ України» у складі мобільних медичних бригад.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підтримки Міжнародного Червоного Хреста сформовані                                                                                                           </w:t>
            </w:r>
          </w:p>
          <w:p w:rsidR="006B0A57" w:rsidRDefault="006B0A57">
            <w:pPr>
              <w:tabs>
                <w:tab w:val="left" w:pos="348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6B0A57" w:rsidRDefault="00E87665">
            <w:pPr>
              <w:tabs>
                <w:tab w:val="left" w:pos="348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 мобільних бригад із лікарів пер винної ланки міських медичних закладів. У 2023 році силами вищевказаних бригад здійснено 1432 виїзди у 1518 населених пунктів, надані консультації понад 33873 особам дитячого та дорослого населення. Мобільною бригадою, сфо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рмованою на базі КНП «Пологовий будинок» ЧМР, у звітному періоді проведено 161 виїзд, обстежено 3224 жінки (проєкт «Мобільні бригади сексуально-репро-дуктивного здоров’я» в межах гуманітарної допомо-ги під егідою ООН).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Розбудова мережі спе</w:t>
            </w:r>
            <w:r>
              <w:rPr>
                <w:rFonts w:ascii="Times New Roman" w:hAnsi="Times New Roman" w:cs="Times New Roman"/>
              </w:rPr>
              <w:t xml:space="preserve">ціалізованих служб для осіб, постраждалих від </w:t>
            </w:r>
            <w:r>
              <w:rPr>
                <w:rFonts w:ascii="Times New Roman" w:hAnsi="Times New Roman" w:cs="Times New Roman"/>
              </w:rPr>
              <w:lastRenderedPageBreak/>
              <w:t>домашнього насильства та/або насильства за ознакою статі</w:t>
            </w:r>
          </w:p>
          <w:p w:rsidR="006B0A57" w:rsidRDefault="006B0A5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 сім’ї, молоді та спорту облдержадміністрації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громадські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2023 році в області створено 2 денних центри соціально-психологічної допомоги особам, які постраждали від домашнього насильства та/або насильства за ознакою статі, з «кризовою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кімнатою» та 7  мобільних бригад соціально-психологічної допомоги особам, які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постраждали від домашнього насильства та/або насильства за ознакою статі.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Станом на 01.01.2024 в області функціонує 43 спеціалізовані служби підтримки постраждалих осіб, зокрема: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денних центри соціально-психологічної допомоги особам, які постраждали 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домашнього насильства та/або насильства за ознакою статі, з «кризовою кімнатою»;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спеціалізовані служби первинного соціально-психологічного консультування осіб, які постраждали від домашнього насильства та/або насильства за ознакою статі;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- 37 мобіль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бригад соціально-психологічної допомоги особам, які постраждали від домашнього насильства та/або насильства за ознакою статі 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Проведення інформаційно-просвітницьких заходів з питань запобігання та протидії домашньом</w:t>
            </w:r>
            <w:r>
              <w:rPr>
                <w:rFonts w:ascii="Times New Roman" w:hAnsi="Times New Roman" w:cs="Times New Roman"/>
                <w:lang w:eastAsia="ar-SA"/>
              </w:rPr>
              <w:lastRenderedPageBreak/>
              <w:t>у насильс</w:t>
            </w:r>
            <w:r>
              <w:rPr>
                <w:rFonts w:ascii="Times New Roman" w:hAnsi="Times New Roman" w:cs="Times New Roman"/>
                <w:lang w:eastAsia="ar-SA"/>
              </w:rPr>
              <w:t>тву, зокрема для осіб з числа ВПО. Розповсюдження буклетів та пам’яток щодо форм, причин та наслідків домашнього насильства, прав постраждалих осіб на захист і допомогу, а також про відповідальність кривдників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 сім’ї, молоді та спорту облдержадм</w:t>
            </w:r>
            <w:r>
              <w:rPr>
                <w:rFonts w:ascii="Times New Roman" w:hAnsi="Times New Roman" w:cs="Times New Roman"/>
              </w:rPr>
              <w:t>іністрації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області проведено заходи у рамках Всеукраїнської акції «16 днів проти насильства», які спрямовані на підвищення обізнаності населення щодо шляхів попередження та інструментів протидії дискримі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нації за ознакою статі, попередження та зупинення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усіх форм насильства стосовно жінок і дітей, формування нетерпимого ставлення до жорстокого поводження в сім’ї. Зокрема: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засідання дорадчих органів, засідання «за круглим столом», диску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сії з обговоренням проблеми насильства, навчальні семінари та тренінги;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акція «Кроки до допомоги», яка пройшла в Чернігові та Ніжині;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інформаційно-просвітницька кампанія в соціальних мережах «Ми проти насильства!»;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флешмоб «Діти проти насилля!»;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матичні виставки літератури та методичних матеріалів з питань запобігання домашньому насильству;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конкурси малюнків/соціальної реклами, фотовиставки серед дітей шкільного віку на теми: «Права дитини», «Ми проти насильства», «Скажи насильству: Ні!», «Ні!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асильству в сім’ї».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2023 році розповсюджено більше 3000 примірників різних інформаційно-просвітницьких матеріалів, що містять інформацію про контакти державних установ, які надають допомогу у разі скоєння насильства, правозахисних організацій та «гарячих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ліній».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  <w:shd w:val="clear" w:color="auto" w:fill="auto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Проведення  заходів соціальної, інформаційної, матеріальної підтримки багатодітних  сімей  з числа ВПО, а також благодійних акцій, культурологічних та спортивних заходів</w:t>
            </w:r>
          </w:p>
        </w:tc>
        <w:tc>
          <w:tcPr>
            <w:tcW w:w="1418" w:type="dxa"/>
            <w:shd w:val="clear" w:color="auto" w:fill="auto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сім’ї, молоді та спорту облдержадміністрації</w:t>
            </w: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6B0A57" w:rsidRDefault="006B0A57"/>
        </w:tc>
        <w:tc>
          <w:tcPr>
            <w:tcW w:w="370" w:type="dxa"/>
            <w:shd w:val="clear" w:color="auto" w:fill="auto"/>
          </w:tcPr>
          <w:p w:rsidR="006B0A57" w:rsidRDefault="006B0A57"/>
        </w:tc>
        <w:tc>
          <w:tcPr>
            <w:tcW w:w="996" w:type="dxa"/>
            <w:gridSpan w:val="2"/>
            <w:shd w:val="clear" w:color="auto" w:fill="auto"/>
          </w:tcPr>
          <w:p w:rsidR="006B0A57" w:rsidRDefault="006B0A57"/>
        </w:tc>
        <w:tc>
          <w:tcPr>
            <w:tcW w:w="1281" w:type="dxa"/>
            <w:gridSpan w:val="2"/>
            <w:shd w:val="clear" w:color="auto" w:fill="auto"/>
          </w:tcPr>
          <w:p w:rsidR="006B0A57" w:rsidRDefault="006B0A57"/>
        </w:tc>
        <w:tc>
          <w:tcPr>
            <w:tcW w:w="712" w:type="dxa"/>
            <w:gridSpan w:val="2"/>
            <w:shd w:val="clear" w:color="auto" w:fill="auto"/>
          </w:tcPr>
          <w:p w:rsidR="006B0A57" w:rsidRDefault="006B0A57"/>
        </w:tc>
        <w:tc>
          <w:tcPr>
            <w:tcW w:w="625" w:type="dxa"/>
            <w:gridSpan w:val="3"/>
            <w:shd w:val="clear" w:color="auto" w:fill="auto"/>
          </w:tcPr>
          <w:p w:rsidR="006B0A57" w:rsidRDefault="006B0A57"/>
        </w:tc>
        <w:tc>
          <w:tcPr>
            <w:tcW w:w="318" w:type="dxa"/>
            <w:gridSpan w:val="2"/>
            <w:shd w:val="clear" w:color="auto" w:fill="auto"/>
          </w:tcPr>
          <w:p w:rsidR="006B0A57" w:rsidRDefault="006B0A57"/>
        </w:tc>
        <w:tc>
          <w:tcPr>
            <w:tcW w:w="320" w:type="dxa"/>
            <w:shd w:val="clear" w:color="auto" w:fill="auto"/>
          </w:tcPr>
          <w:p w:rsidR="006B0A57" w:rsidRDefault="006B0A57"/>
        </w:tc>
        <w:tc>
          <w:tcPr>
            <w:tcW w:w="1183" w:type="dxa"/>
            <w:gridSpan w:val="2"/>
            <w:shd w:val="clear" w:color="auto" w:fill="auto"/>
          </w:tcPr>
          <w:p w:rsidR="006B0A57" w:rsidRDefault="006B0A57"/>
        </w:tc>
        <w:tc>
          <w:tcPr>
            <w:tcW w:w="1463" w:type="dxa"/>
            <w:gridSpan w:val="3"/>
            <w:shd w:val="clear" w:color="auto" w:fill="auto"/>
          </w:tcPr>
          <w:p w:rsidR="006B0A57" w:rsidRDefault="006B0A57"/>
        </w:tc>
        <w:tc>
          <w:tcPr>
            <w:tcW w:w="606" w:type="dxa"/>
            <w:shd w:val="clear" w:color="auto" w:fill="auto"/>
          </w:tcPr>
          <w:p w:rsidR="006B0A57" w:rsidRDefault="006B0A57"/>
        </w:tc>
        <w:tc>
          <w:tcPr>
            <w:tcW w:w="602" w:type="dxa"/>
            <w:gridSpan w:val="2"/>
            <w:shd w:val="clear" w:color="auto" w:fill="auto"/>
          </w:tcPr>
          <w:p w:rsidR="006B0A57" w:rsidRDefault="006B0A57"/>
        </w:tc>
        <w:tc>
          <w:tcPr>
            <w:tcW w:w="3942" w:type="dxa"/>
            <w:gridSpan w:val="2"/>
            <w:shd w:val="clear" w:color="auto" w:fill="auto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єдиного обліку багатодітних сімей в області станом на 01.07.2023 проживає 7540 сімей, в них 25474 дітей.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Пільгами з оплати житлово-комунальних послуг станом на 01.07.2023 скористалися  2315 багатодітних сімей, пільгами на придбання твердого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палива та скрапленого газу готівкою – 751 сім’ї, 50% знижку абонентної плати за користування телефоном отримали 42 сім’ї.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2023 року близько 2504 багатодітних сім’ї звільнено від оплати за харчування дітей в загальноосвітніх закладах області, у 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сім’ях діти мали змогу безкоштовно відвідати різноманітні гуртки та секції, 4755 сімей  отримали гуманітарну допомогу, 2534 - продуктові набори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Забезпечення багатодітних сімей області  з числа ВПО посвідченнями батьків багатодітної сім’ї  та посвідчен</w:t>
            </w:r>
            <w:r>
              <w:rPr>
                <w:rFonts w:ascii="Times New Roman" w:hAnsi="Times New Roman" w:cs="Times New Roman"/>
              </w:rPr>
              <w:t xml:space="preserve">нями дитини з </w:t>
            </w:r>
            <w:r>
              <w:rPr>
                <w:rFonts w:ascii="Times New Roman" w:hAnsi="Times New Roman" w:cs="Times New Roman"/>
              </w:rPr>
              <w:lastRenderedPageBreak/>
              <w:t>багатодітної сім’ї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 сім’ї, молоді та спорту облдержадміністрації,</w:t>
            </w:r>
          </w:p>
          <w:p w:rsidR="006B0A57" w:rsidRDefault="00E87665">
            <w:pPr>
              <w:pStyle w:val="1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Районні військові адміністрації,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Міські, селищні, сільські ради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(за згодою)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чинного законодавства багатодітні сім’ї області забезпечуються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посвідченнями батьків та дітей з багатодітної сім’ї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Станом на 01.07.2023 в Чернігівській області видано 1324 посвідчення батьків багатодітної сім’ї та 1729 посвідчення дитини з багатодітної сім’ї. 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листопаді-грудні 2023 року за кошти обласного бюджету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Департаментом сім’ї, молоді та спорту Чернігівської обласної державної адміністрації було забезпечено виготовлення бланків посвідчення батьків багатодітної сім’ї в кількості 800 шт. та посвідчення 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 з багатодітної сім’ї в кількості 1600 шт.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майстер-класів для підтримки заходів з соціальної адаптації осіб з числа ВПО </w:t>
            </w:r>
          </w:p>
          <w:p w:rsidR="006B0A57" w:rsidRDefault="006B0A57">
            <w:pPr>
              <w:pStyle w:val="af7"/>
              <w:ind w:left="34"/>
              <w:rPr>
                <w:rFonts w:ascii="Times New Roman" w:hAnsi="Times New Roman" w:cs="Times New Roman"/>
              </w:rPr>
            </w:pPr>
          </w:p>
          <w:p w:rsidR="006B0A57" w:rsidRDefault="006B0A5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культури і туризму, національностей та релігій облдержадміністрації, Чернігівський обласний худож</w:t>
            </w:r>
            <w:r>
              <w:rPr>
                <w:rFonts w:ascii="Times New Roman" w:hAnsi="Times New Roman" w:cs="Times New Roman"/>
              </w:rPr>
              <w:t xml:space="preserve">ній музей імені Григорія Галагана (за згодою), </w:t>
            </w:r>
          </w:p>
          <w:p w:rsidR="006B0A57" w:rsidRDefault="00E87665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Залучено 30 осіб з числа ВПО,</w:t>
            </w:r>
          </w:p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проведено 2 заходи, а саме:</w:t>
            </w:r>
          </w:p>
          <w:p w:rsidR="006B0A57" w:rsidRDefault="00E87665">
            <w:pPr>
              <w:spacing w:line="216" w:lineRule="auto"/>
              <w:ind w:firstLine="32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арт-терапевтичне заняття для дітей ВПО (17 травня 2023 року)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арт-терапевтичне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заняття для жінок та дівчат ( в межах проєкту «Жінка для жінки: підтримка лідерства ВПО та посилення впливу на прийняття рішень»). Організатор - ГО «Бюро гендерних стратегій та бюджетування» (за підтримки Жіночого фонду миру та гуманітарної допомоги ООН),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партнер – Чернігівський обласний художній музей імені Григорія Галагана  (3 грудня 2023 року).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Сприяння у проведенні заходів, організованих громадськими організаціями для осіб з числа ВПО</w:t>
            </w:r>
          </w:p>
          <w:p w:rsidR="006B0A57" w:rsidRDefault="006B0A5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Департаменти облдержадміністрації: культури і туризму, націо</w:t>
            </w:r>
            <w:r>
              <w:rPr>
                <w:rFonts w:ascii="Times New Roman" w:hAnsi="Times New Roman" w:cs="Times New Roman"/>
              </w:rPr>
              <w:t xml:space="preserve">нальностей та релігій; соціального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захисту населення, 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Чернігівський обласний художній музей імені Григорія Галагана (за згодою),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Проведено 3 заходи, а саме:</w:t>
            </w:r>
          </w:p>
          <w:p w:rsidR="006B0A57" w:rsidRDefault="00E87665">
            <w:pPr>
              <w:spacing w:line="216" w:lineRule="auto"/>
              <w:ind w:firstLine="32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відкриття виставки малюнків дітей ВПО, спільно з БФ «Рокада»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(20 травня 2023 року)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:rsidR="006B0A57" w:rsidRDefault="00E87665">
            <w:pPr>
              <w:spacing w:line="216" w:lineRule="auto"/>
              <w:ind w:firstLine="32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тренінг з гендерно зумовленого насилля для жінок та дівчат (в межах проєкту «Жінки для жінок: підтримка лідерства ВПО та посилення впливу та прийняття рішень»). Організатор - ГО «Бюро  гендерних стратегій бюджетування», партнер 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Чер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нігівський обласний художній музей імені Григорія Галагана  (30 листопада 2023 року)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фотосесія для активних жінок «Моє місце всюди» (в межах проєкту: «Жінка для жінки: підтримка лідерства ВПО та посилення впливу на прийняття рішень»). Організатор -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 «Бюро гендерних стратегій та бюджетування» (за підтримки Жіночого фонду миру та гуманітарної допомоги ООН), партнер – Чернігівський обласний художній музей імені Григорія Галагана (30 грудня 2023 року).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Сприяння у відвідуванні  родинами з числа ВПО </w:t>
            </w:r>
            <w:r>
              <w:rPr>
                <w:rFonts w:ascii="Times New Roman" w:hAnsi="Times New Roman" w:cs="Times New Roman"/>
              </w:rPr>
              <w:t>обласного художнього музею  імені Григорія Галагана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культури і туризму, національностей та релігій облдержадміністрації, 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Чернігівський обласний художній музей імені Григорія Галагана (за згодою),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проведених заходів зазначених вище було залучено 47 внутрішньо переміщених осіб.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Організація проведення екскурсій по обласному </w:t>
            </w:r>
            <w:r>
              <w:rPr>
                <w:rFonts w:ascii="Times New Roman" w:hAnsi="Times New Roman" w:cs="Times New Roman"/>
              </w:rPr>
              <w:lastRenderedPageBreak/>
              <w:t>історичному музею                             ім. В.В. Тарновського  та по місту, які організовані громадськими організаці</w:t>
            </w:r>
            <w:r>
              <w:rPr>
                <w:rFonts w:ascii="Times New Roman" w:hAnsi="Times New Roman" w:cs="Times New Roman"/>
              </w:rPr>
              <w:t>ями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 культури і туризму, національно</w:t>
            </w:r>
            <w:r>
              <w:rPr>
                <w:rFonts w:ascii="Times New Roman" w:hAnsi="Times New Roman" w:cs="Times New Roman"/>
              </w:rPr>
              <w:lastRenderedPageBreak/>
              <w:t xml:space="preserve">стей та релігій облдержадміністрації, 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Чернігівський обласний історичний музей ім. В.В. Тарновського (за згодою),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не проводились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оскільки звернення щодо проведення екскурсій  до обласного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історичного музею ім. В.В. Тарновського</w:t>
            </w:r>
            <w:r>
              <w:rPr>
                <w:rFonts w:ascii="Times New Roman" w:hAnsi="Times New Roman" w:cs="Times New Roman"/>
              </w:rPr>
              <w:t xml:space="preserve">  не надходили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Забезпечення надання освітніх послуг у закладах дошкільної, загальної середньої освіти для дітей з числа ВПО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освіти і нау</w:t>
            </w:r>
            <w:r>
              <w:rPr>
                <w:rFonts w:ascii="Times New Roman" w:eastAsia="Times New Roman" w:hAnsi="Times New Roman" w:cs="Times New Roman"/>
              </w:rPr>
              <w:t>ки облдержадміністрації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Міські, селищні, сільські ради (за згодою)</w:t>
            </w: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Станом на 01 січня 2024 року в закладах загальної середньої освіти області навчається 2721 учень з числа внутрішньо переміщених осіб. У закладах дошкільної освіти здобува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ють освіту 697 дітей зазначеної категорії. Рівень забезпечення осіб з числа ВПО правом на освіту становить 100%.</w:t>
            </w:r>
          </w:p>
          <w:p w:rsidR="006B0A57" w:rsidRDefault="006B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Забезпечення здобуття робітничих професій у закладах професійної (професійно-технічної) освіти, в тому числі безробітни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lastRenderedPageBreak/>
              <w:t>и особами з числа ВПО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Управління освіти і науки облдержадміністрації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центр зайнятості (за згодою)</w:t>
            </w:r>
          </w:p>
          <w:p w:rsidR="006B0A57" w:rsidRDefault="006B0A57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  <w:vAlign w:val="center"/>
          </w:tcPr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 2023/2024 навчальному році в закладах  професійної (професійно-технічної) освіти здобувають робіт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ничі професії 127 учнів із числа  внутрішньо переміщених осіб. </w:t>
            </w:r>
          </w:p>
          <w:p w:rsidR="006B0A57" w:rsidRDefault="00E87665">
            <w:pPr>
              <w:pStyle w:val="rvps12"/>
              <w:spacing w:before="0" w:beforeAutospacing="0" w:after="0" w:afterAutospacing="0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Крім того, за направленням Центру зайнятості на базі закладів професійної (професійно-технічної) освіти робітничі професії здобувають 14 осіб вищезазначеної категорії із числа незайнятого насе</w:t>
            </w:r>
            <w:r>
              <w:rPr>
                <w:spacing w:val="-4"/>
                <w:lang w:val="uk-UA"/>
              </w:rPr>
              <w:t>лення.</w:t>
            </w:r>
          </w:p>
          <w:p w:rsidR="006B0A57" w:rsidRDefault="00E87665">
            <w:pPr>
              <w:pStyle w:val="rvps12"/>
              <w:spacing w:before="0" w:beforeAutospacing="0" w:after="0" w:afterAutospacing="0"/>
              <w:ind w:left="23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lastRenderedPageBreak/>
              <w:t>Впродовж  2023 року в Чернігівській обласній службі зайнятості в статусі зареєстрованих безробітних перебувало 782 внутрішньо переміщені особи, з них 684 особи отримали 1768 профорієнтаційних  послуг – 1158 профінформаційних, 608 профконсультаційних</w:t>
            </w:r>
            <w:r>
              <w:rPr>
                <w:spacing w:val="-4"/>
                <w:lang w:val="uk-UA"/>
              </w:rPr>
              <w:t xml:space="preserve">, в тому числі 13 консультацій із застосуванням психодіагностичного тестування та 2 послуги з профвідбору. </w:t>
            </w:r>
          </w:p>
          <w:p w:rsidR="006B0A57" w:rsidRDefault="00E87665">
            <w:pPr>
              <w:pStyle w:val="rvps12"/>
              <w:spacing w:before="0" w:beforeAutospacing="0" w:after="0" w:afterAutospacing="0"/>
              <w:ind w:left="23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Зокрема, 452 безробітні особи цієї категорії взяли участь в різноманітних профорієнтаційних заходах служби зайнятості - тренінгах з техніки пошуку р</w:t>
            </w:r>
            <w:r>
              <w:rPr>
                <w:spacing w:val="-4"/>
                <w:lang w:val="uk-UA"/>
              </w:rPr>
              <w:t>оботи, тематичних семінарах для внутрішньо переміщених осіб, тренінгах з цифрової грамотності та з розвитку навичок «soft skills», семінарах з орієнтації на військову службу за контрактом в Збройних Силах України, ярмарках вакансій та презентаціях роботода</w:t>
            </w:r>
            <w:r>
              <w:rPr>
                <w:spacing w:val="-4"/>
                <w:lang w:val="uk-UA"/>
              </w:rPr>
              <w:t xml:space="preserve">вців, консультаціях зі участю соціальних партнерів служби зайнятості (фахівців Пенсійного фонду України, бюро правової допомоги та ін.), презентаціях послуг з професійного навчання тощо. </w:t>
            </w:r>
          </w:p>
          <w:p w:rsidR="006B0A57" w:rsidRDefault="00E87665">
            <w:pPr>
              <w:pStyle w:val="rvps12"/>
              <w:spacing w:before="0" w:beforeAutospacing="0" w:after="0" w:afterAutospacing="0"/>
              <w:ind w:left="23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Крім того, 860 внутрішньо переміщених осіб, які не мали статусу без</w:t>
            </w:r>
            <w:r>
              <w:rPr>
                <w:spacing w:val="-4"/>
                <w:lang w:val="uk-UA"/>
              </w:rPr>
              <w:t xml:space="preserve">робітних, отримали 864 </w:t>
            </w:r>
            <w:r>
              <w:rPr>
                <w:spacing w:val="-4"/>
                <w:lang w:val="uk-UA"/>
              </w:rPr>
              <w:lastRenderedPageBreak/>
              <w:t xml:space="preserve">профорієнтаційні послуги, з них 816 профінформаційних  та 48 профконсультаційних. Зокрема, 863 особи стали учасниками семінарів для внутрішньо переміщених осіб, виїзних заходів служби зайнятості, які проводились в громадських місцях </w:t>
            </w:r>
            <w:r>
              <w:rPr>
                <w:spacing w:val="-4"/>
                <w:lang w:val="uk-UA"/>
              </w:rPr>
              <w:t xml:space="preserve">та в територіальних громадах області, консультаціях із залученням соціальних партнері.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 2023 рік 21 безробітна особа, що перебувала на обліку, була скерована на професійне навчання та перенавчання за робітничими професіями за конкретним замовленням робо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тодавців. Зокрема, безробітні ВПО навчалися за такими професіями/спеціальностями: «апаратник чищення килимових виробів», «машиніст (кочегар) котельної», «вальник лісу», «продавець  продовольчих товарів», «кухар», «бариста», «швачка»,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виробник харчових нап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івфабрикатів», «технік-технолог з технології харчування»,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«адміністратор».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Сприяння у роботі освітніх центрів "Крим-Україна", "Донбас-</w:t>
            </w:r>
            <w:r>
              <w:rPr>
                <w:rFonts w:ascii="Times New Roman" w:hAnsi="Times New Roman" w:cs="Times New Roman"/>
              </w:rPr>
              <w:lastRenderedPageBreak/>
              <w:t>Україна" на базі Національних університетів Чернігівської області</w:t>
            </w:r>
          </w:p>
        </w:tc>
        <w:tc>
          <w:tcPr>
            <w:tcW w:w="1418" w:type="dxa"/>
          </w:tcPr>
          <w:p w:rsidR="006B0A57" w:rsidRDefault="00E87665">
            <w:pPr>
              <w:pStyle w:val="16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Управління освіти і науки облдержадміністрації</w:t>
            </w: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Під час вступної кампанії проводиться інформаційно-роз’яснювальна робота з метою підвищення рівня обізнаності абітурієнтів з числа внутрішньо переміщених осіб щодо спеціальних умов вступу до закладів освіти, 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lastRenderedPageBreak/>
              <w:t>інших освітніх можливостей, які можна ре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алізувати в освітніх центрах «Донбас-Україна» та «Крим-Україна», що функціонують </w:t>
            </w:r>
            <w:r>
              <w:rPr>
                <w:rStyle w:val="afe"/>
                <w:rFonts w:ascii="Times New Roman" w:hAnsi="Times New Roman" w:cs="Times New Roman"/>
                <w:b w:val="0"/>
                <w:sz w:val="24"/>
                <w:szCs w:val="24"/>
              </w:rPr>
              <w:t xml:space="preserve">на базі </w:t>
            </w:r>
            <w:r>
              <w:rPr>
                <w:rStyle w:val="rvts82"/>
                <w:rFonts w:ascii="Times New Roman" w:hAnsi="Times New Roman" w:cs="Times New Roman"/>
                <w:bCs/>
                <w:sz w:val="24"/>
                <w:szCs w:val="24"/>
              </w:rPr>
              <w:t>закладів вищої освіти</w:t>
            </w:r>
            <w:r>
              <w:rPr>
                <w:rStyle w:val="rvts82"/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Забезпечення надання освітніх послуг у закладах вищої, фахової передвищої освіти, в тому числі особам, які отримали у службі за</w:t>
            </w:r>
            <w:r>
              <w:rPr>
                <w:rFonts w:ascii="Times New Roman" w:hAnsi="Times New Roman" w:cs="Times New Roman"/>
              </w:rPr>
              <w:t>йнятості ваучер для підвищення конкурентноспроможності на ринку праці</w:t>
            </w:r>
          </w:p>
        </w:tc>
        <w:tc>
          <w:tcPr>
            <w:tcW w:w="1418" w:type="dxa"/>
          </w:tcPr>
          <w:p w:rsidR="006B0A57" w:rsidRDefault="00E87665">
            <w:pPr>
              <w:pStyle w:val="16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освіти і науки облдержадміністрації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центр зайнятості (за згодою)</w:t>
            </w: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996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1281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712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625" w:type="dxa"/>
            <w:gridSpan w:val="3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318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320" w:type="dxa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1183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1463" w:type="dxa"/>
            <w:gridSpan w:val="3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606" w:type="dxa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602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3942" w:type="dxa"/>
            <w:gridSpan w:val="2"/>
            <w:vAlign w:val="center"/>
          </w:tcPr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закладах вищої та фахової передвищої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 області передбачено можливість отримання ступеневої освіти за напрямами підготовки для різних категорій студентів, у тому числі внутрішньо переміщених осіб,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які отримали у службі зайнятості ваучер для підвищення конкурентноспроможності на ринку пра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2023/2024 навчальному році у закладах  вищої освіти області здобувають освіту 185 внутрішньо переміщених осіб, у закладах фахової передвищої освіти – 102 внутрішньо переміщені особи.</w:t>
            </w:r>
          </w:p>
          <w:p w:rsidR="006B0A57" w:rsidRDefault="00E87665">
            <w:pPr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>Прилуцьким технічним фаховим коледжем проводяться безкоштовні курс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>и з української мови для  внутрішньо переміщених осіб, що сприяє відновленню культури діалогу, підвищенню рівень толерантності в суспільстві та конкурентноспроможності на ринку праці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2023 рік видано 29 ваучерів для підвищення конкурентоздатності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громадян віком 45+ років з числа ВПО за професіями: кухар, кондитер,  електрогазозварник, машиніст-кочегар, електромонтер, електрогазозварник тощо, спеціальностями – психологія, харчові техн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ології, агрономія соціальна робота, дизайн, електроенергетика.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Здійснення у закладах освіти психологічної діагностики, просвіти та інформування, психологічне консультування, психологічну та соціально-педагогічну підтримку і супровід учасни</w:t>
            </w:r>
            <w:r>
              <w:rPr>
                <w:rFonts w:ascii="Times New Roman" w:hAnsi="Times New Roman" w:cs="Times New Roman"/>
              </w:rPr>
              <w:t>ків освітнього процесу, зокрема і осіб з числа ВПО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освіти і науки облдержадміністрації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2023 році постійно здійснювало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 надання  соціально-психологічної підтримки учасникам освітнього процесу закладів освіти області, у тому числі особам з числа ВПО. До річних планів роботи працівників психологічної служби закладів освіти області включено заходи з надання психологічних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слуг та здійснення соціального супроводу здобувачів освіти з числа внутрішньо переміщених осіб та членів їх родин. Практичними психологами і соціальними педагогами закладів освіти області здійснюється психологічна підтримка, проводяться тренінгові заняття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зі здобувачами освіти щодо визначення почуттів, потреб, ресурсів і можливостей, корекція дезадаптації, кризових станів. </w:t>
            </w:r>
          </w:p>
          <w:p w:rsidR="006B0A57" w:rsidRDefault="006B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uk-UA"/>
              </w:rPr>
              <w:t>Забезпечення роботи консультати</w:t>
            </w:r>
            <w:r>
              <w:rPr>
                <w:rFonts w:ascii="Times New Roman" w:hAnsi="Times New Roman" w:cs="Times New Roman"/>
                <w:shd w:val="clear" w:color="auto" w:fill="FFFFFF"/>
                <w:lang w:eastAsia="uk-UA"/>
              </w:rPr>
              <w:lastRenderedPageBreak/>
              <w:t>вного пункту з надання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eastAsia="uk-UA"/>
              </w:rPr>
              <w:t xml:space="preserve">психологічної допомоги для </w:t>
            </w:r>
            <w:r>
              <w:rPr>
                <w:rFonts w:ascii="Times New Roman" w:hAnsi="Times New Roman" w:cs="Times New Roman"/>
              </w:rPr>
              <w:t>ВПО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Управління освіти і науки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облдержадмініст</w:t>
            </w:r>
            <w:r>
              <w:rPr>
                <w:rFonts w:ascii="Times New Roman" w:eastAsia="Times New Roman" w:hAnsi="Times New Roman" w:cs="Times New Roman"/>
              </w:rPr>
              <w:t xml:space="preserve">рації, </w:t>
            </w:r>
          </w:p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Чернігівський обласний інститут післядипломної педагогічної освіти імені К.Д.Ушинського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  (за згодою)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pStyle w:val="a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На базі Навчально-методичного центру психологічної служби у сис</w:t>
            </w:r>
            <w:r>
              <w:rPr>
                <w:lang w:val="uk-UA"/>
              </w:rPr>
              <w:t xml:space="preserve">темі освіти Чернігівської області </w:t>
            </w:r>
            <w:r>
              <w:rPr>
                <w:lang w:val="uk-UA"/>
              </w:rPr>
              <w:lastRenderedPageBreak/>
              <w:t>Чернігівського обласного інституту післядипломної педагогічної освіти імені К.Д.</w:t>
            </w:r>
            <w:r>
              <w:t> </w:t>
            </w:r>
            <w:r>
              <w:rPr>
                <w:lang w:val="uk-UA"/>
              </w:rPr>
              <w:t>Ушинського забезпечено роботу консультативного пункту з надання психологічної допомоги учасникам освітнього процесу, зокрема з числа   внутрі</w:t>
            </w:r>
            <w:r>
              <w:rPr>
                <w:lang w:val="uk-UA"/>
              </w:rPr>
              <w:t>шньо переміщених осіб (діти, дорослі), які знаходяться у кризовому стані.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Забезпечення отримання особами з числа ВПО дублікатів документів про здобуття базової середньої та повної загальної середньої освіти, отриманих на територі</w:t>
            </w:r>
            <w:r>
              <w:rPr>
                <w:rFonts w:ascii="Times New Roman" w:hAnsi="Times New Roman" w:cs="Times New Roman"/>
              </w:rPr>
              <w:t>ях які є тимчасово окупованими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освіти і науки облдержадміністрації</w:t>
            </w: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Протягом 2023 року було замовлено, виготовлено та видано особам з числа ВПО 5 дублікатів документів про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здобуття базової середньої та повної загальної середньої освіти.</w:t>
            </w:r>
          </w:p>
          <w:p w:rsidR="006B0A57" w:rsidRDefault="006B0A57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агропромислового розвитку облдержадміністрації</w:t>
            </w: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метою підтримки розвитку мікро, малого та середнього підприємництва в сільськогосподарській та переробній галузях Чернігівської області, а також підвищення ділової активності у сільській місцевості та поінформованості сільського населення області, в тому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числі ВПО, щодо грантової підтримки сільського господарства, фермерства, кооперації та інших питань ведення господарської діяльності протягом 2023 року проведено 6 тематичних заходів, в яких прийняли участь більше ніж 80 осіб.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Інформу</w:t>
            </w:r>
            <w:r>
              <w:rPr>
                <w:rFonts w:ascii="Times New Roman" w:hAnsi="Times New Roman" w:cs="Times New Roman"/>
              </w:rPr>
              <w:t xml:space="preserve">вання осіб з числа ВПО про можливість отримання мікрогрантів на створення або розвиток власного бізнесу, забезпечення розгляду заяв та бізнес-планів </w:t>
            </w:r>
            <w:r>
              <w:rPr>
                <w:rFonts w:ascii="Times New Roman" w:hAnsi="Times New Roman" w:cs="Times New Roman"/>
              </w:rPr>
              <w:lastRenderedPageBreak/>
              <w:t>претендентів на отримання мікрогрантів з числа ВПО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Обласний центр зайнятості (за згодою)</w:t>
            </w: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  <w:vAlign w:val="center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Постановою Кабінету Міністрів України від 21 червня 2022 року №738 затверджено «Порядок надання мікрогрантів на створення або розвиток власного бізнесу». Надаються мікрогранти розміром від 50 до 250 тис.грн. Обов’язковою умовою отримання мікрогранту є ство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рення нових робочих місць - мінімально 1 робоче місце (грант до 150 тис. грн.), 2 робочих місця (від 150 тис. грн.). Так, за 2023 рік позитивні рішення та виплати отримали 5 осіб (суб’єктів господарювання) з числа внутрішньо переміщених осіб. Так, в област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і планується відкритися магазин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сервісного центру з продажу та ремонту предметів особистого вжитку, експрес-перукарня, комп’ютерний клуб віртуальної реальності, СТО та запрацює лінійка продукції здорового харчування. В результаті планується ввести у дію 9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робочих місць..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Надання комплексної соціально-психологічної допомоги вихованцям центрів соціально-психологічної реабілітації дітей, в тому числі які мають статус ВПО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Служба у справах дітей облдержадміністрації,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tabs>
                <w:tab w:val="center" w:pos="3506"/>
                <w:tab w:val="left" w:pos="43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підпорядкуванні Служби у справах дітей Чернігівської ОДА перебувають 3 центри соціально-психологічної реабілітації дітей.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Центри соціально-психологічної реабілітації дітей у м. Ніжині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Хмільниця Чернігівського району працюють у штатному режимі, 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зараз отримують допомогу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 вихованці.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Всього протягом 2023 року  в межах цих закладів соціально-психологічну допомогу надано 147 дітям. Діти з числа внутрішньо переміщених осіб до закладів не поміщались.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Забезпечення проведення інфо</w:t>
            </w:r>
            <w:r>
              <w:rPr>
                <w:rFonts w:ascii="Times New Roman" w:hAnsi="Times New Roman" w:cs="Times New Roman"/>
              </w:rPr>
              <w:t>рмаційно-роз’яснювальної роботи серед осіб з числа ВПО з питань підтримки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соціального захисту населення облдержадміністрації; управління облдержадміністрації: освіти </w:t>
            </w:r>
            <w:r>
              <w:rPr>
                <w:rFonts w:ascii="Times New Roman" w:hAnsi="Times New Roman" w:cs="Times New Roman"/>
              </w:rPr>
              <w:lastRenderedPageBreak/>
              <w:t xml:space="preserve">і науки; охорони здоров'я, служба у справах дітей, </w:t>
            </w:r>
          </w:p>
          <w:p w:rsidR="006B0A57" w:rsidRDefault="00E87665">
            <w:pPr>
              <w:pStyle w:val="1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обласний центр соціальних </w:t>
            </w:r>
            <w:r>
              <w:rPr>
                <w:rFonts w:ascii="Times New Roman" w:hAnsi="Times New Roman" w:cs="Times New Roman"/>
              </w:rPr>
              <w:t xml:space="preserve">служб, </w:t>
            </w:r>
          </w:p>
          <w:p w:rsidR="006B0A57" w:rsidRDefault="00E87665">
            <w:pPr>
              <w:pStyle w:val="1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Районні військові адміністрації,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Міські, селищні, сільські ради (за згодою),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712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625" w:type="dxa"/>
            <w:gridSpan w:val="3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318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320" w:type="dxa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1183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1463" w:type="dxa"/>
            <w:gridSpan w:val="3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606" w:type="dxa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602" w:type="dxa"/>
            <w:gridSpan w:val="2"/>
          </w:tcPr>
          <w:p w:rsidR="006B0A57" w:rsidRDefault="006B0A57">
            <w:pPr>
              <w:rPr>
                <w:color w:val="FF0000"/>
              </w:rPr>
            </w:pPr>
          </w:p>
        </w:tc>
        <w:tc>
          <w:tcPr>
            <w:tcW w:w="3942" w:type="dxa"/>
            <w:gridSpan w:val="2"/>
          </w:tcPr>
          <w:p w:rsidR="006B0A57" w:rsidRDefault="00E87665">
            <w:pPr>
              <w:tabs>
                <w:tab w:val="left" w:pos="0"/>
                <w:tab w:val="left" w:pos="737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Протягом 2023 року  центрами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ціальних служб, центрами надання соціальних послуг, фахівцями із соціальної роботи територіальних громад області забезпечувалось  постійне інформування населення з питань підтримки внутрішньо переміщених сімей/осіб шляхом активного залучення Інтернет-ресур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су.</w:t>
            </w:r>
          </w:p>
          <w:p w:rsidR="006B0A57" w:rsidRDefault="00E87665">
            <w:pPr>
              <w:tabs>
                <w:tab w:val="left" w:pos="0"/>
                <w:tab w:val="left" w:pos="737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Упродовж цього періоду інформаційні матеріали розміщувались на сайті Чернігівського обласного центру соціальних служб (http://ocssm.cg.gov.ua) та в мережі Facebook на сторінці «Чернігівський обласний центр соціальних служб».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eastAsia="ru-RU"/>
              </w:rPr>
              <w:t>У закладах освіти області п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едагогічними працівниками постійно проводиться інформаційно-роз’яснювальна робота серед здобувачів освіти з числа внутрішньо переміщених осіб з питань підтримки. 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jc w:val="both"/>
              <w:rPr>
                <w:rStyle w:val="rvts82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eastAsia="ru-RU"/>
              </w:rPr>
              <w:t>Зокрема, в ході вступної кампанії проводиться інформаційно-роз’яснювальна робота для абітуріє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нтів з числа ВПО стосовно спеціальних умов вступу до закладів освіти, а також про інші освітні можливості, які можна отримати в освітніх центрах «Донбас-Україна» та «Крим-Україна», що функціонують </w:t>
            </w:r>
            <w:r>
              <w:rPr>
                <w:rStyle w:val="afe"/>
                <w:rFonts w:ascii="Times New Roman" w:hAnsi="Times New Roman" w:cs="Times New Roman"/>
                <w:b w:val="0"/>
                <w:sz w:val="24"/>
                <w:szCs w:val="24"/>
              </w:rPr>
              <w:t>на базі</w:t>
            </w:r>
            <w:r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закладів вищої освіти області.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rvts82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Інформацію про діяль</w:t>
            </w:r>
            <w:r>
              <w:rPr>
                <w:rStyle w:val="rvts82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ність освітніх центрів 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eastAsia="ru-RU"/>
              </w:rPr>
              <w:t>«Донбас-Україна» та «Крим-Україна» розміщено на офіційному вебсайті  Управління освіти і науки облдержадміністрації в рубриці «Освіта Чернігівщини. Вища».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інформування якнайбільшої кількості громадян щодо безоплатних медичних послуг для населення гарантованих програмою медичних гарантій, в області проводиться інформаційна кампанія «Програма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медичних гарантій. Гаратовано!» шляхом розміщення соціальних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відеороликів, друкованих матеріалів та публікацій на власних інформаційних ресурсах. На веб-сайтах Управління охорони здоров’я Чернігівської облдержадміністрації та медичних закладів області, а також сторінках у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зазначених закладів розміщені 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ікації: «Поради для ВПО: як харчуватися під час війни, щоб зберегти здоров’я», «Які особливості медичного обслуговування передбачені для внутрішньо переміщених осіб?», «Як внутрішньо переміщеним особам надолужити пропущені щеплення згідно планової вакцинац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 за Національним календарем щеплень», «Імунізація триває попри війну – внутрішньо переміщені особи можуть звертатися до будь-якого медичного закладу та продовжувати надолужувати національний календар профілактичних щеплень», «Яке безоплатне лікування 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уть отримати онкопацієнти, в тому числі і внутрішньо переміщені особи у 2023 році», «Як внутрішньо переміщеним українцям своєчасно отримати медичну допомогу та електронний рецепт на ліки»,  «Як внутрішньо переміщеним громадянам отримати електронний рецепт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рецептурні ліки», «Що необхідно знати про вакцинацію внутрішньо переміщеним особам (ВПО) та вимушеним переселенцям до інших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країн?», «Внутрішньо переміщені особи можуть отримувати медичну допомогу за місцем проживання та без декларацій»,  «Як уникнути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оширення інфекційних хвороб у місцях перебування переселенців і біженців».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сайтах обласної державної адміністрації та Департаменту соціального захисту населення обласної державної адміністрації розміщена актуальна інформація для внутрішньо переміщених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сіб, а саме щодо соціальної підтримки ВПО, місць тимчасового проживання, з питань працевлаштування тощо.</w:t>
            </w:r>
          </w:p>
          <w:p w:rsidR="006B0A57" w:rsidRDefault="00E87665">
            <w:pPr>
              <w:pStyle w:val="af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Також інформація щодо підтримки осіб з числа внутрішньо переміщених осіб розміщена на сайті Чернігівської районної державної адміні</w:t>
            </w:r>
            <w:r>
              <w:rPr>
                <w:lang w:val="uk-UA"/>
              </w:rPr>
              <w:t>страції та на офіційних сайтах міських, селищних, сільських рад Чернігівського району. Проведено навчання уповноважених осіб територіальних громад з питань підтримки внутрішньо переміщених осіб. Всі територіальні громади забезпечені інформаційними буклетам</w:t>
            </w:r>
            <w:r>
              <w:rPr>
                <w:lang w:val="uk-UA"/>
              </w:rPr>
              <w:t>и з корисною інформацією для вищезазначених осіб.</w:t>
            </w:r>
          </w:p>
          <w:p w:rsidR="006B0A57" w:rsidRDefault="00E87665">
            <w:pPr>
              <w:pStyle w:val="af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інформаційних стендах установ та організацій Прилуцького району  та офіційному сайті Прилуцької районної державної адміністрації </w:t>
            </w:r>
            <w:r>
              <w:rPr>
                <w:lang w:val="uk-UA"/>
              </w:rPr>
              <w:lastRenderedPageBreak/>
              <w:t>розміщено інформацію  щодо графіків роботи та послуг, які надаються</w:t>
            </w:r>
            <w:r>
              <w:rPr>
                <w:color w:val="FF0000"/>
                <w:shd w:val="clear" w:color="auto" w:fill="FFFFFF"/>
                <w:lang w:val="uk-UA"/>
              </w:rPr>
              <w:t xml:space="preserve"> </w:t>
            </w:r>
          </w:p>
          <w:p w:rsidR="006B0A57" w:rsidRDefault="00E87665">
            <w:pPr>
              <w:tabs>
                <w:tab w:val="left" w:pos="56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 мет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ою забезпечення доступу до інформації у міських, сільських, селищних радах, Ніжинській районній військовій адміністрації, управлінні соціального захисту населення функціонують інформаційні сайти, дошки оголошень, чат-боти, сторінки в соціальних мережах, зо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крема в мережі Фейсбук, де публікується відповідна інформація, в тому числі і для внутрішньо-переміщених осіб.</w:t>
            </w:r>
          </w:p>
          <w:p w:rsidR="006B0A57" w:rsidRDefault="00E87665">
            <w:pPr>
              <w:tabs>
                <w:tab w:val="left" w:pos="5640"/>
              </w:tabs>
              <w:jc w:val="both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 xml:space="preserve">В Корюківському районі забезпечено доступ осіб з числа ВПО до своєчасного отримання необхідної інформації на протязі 2023 року. </w:t>
            </w:r>
          </w:p>
          <w:p w:rsidR="006B0A57" w:rsidRDefault="00E87665">
            <w:pPr>
              <w:tabs>
                <w:tab w:val="left" w:pos="564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Інформація щодо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 ВПО систематично висвітлюється на сайті Новгород-Сіверської РДА, селищних та міських  рад, а при їх особистому зверненні безпосередньо особисто ВПО</w:t>
            </w:r>
            <w:r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Консультацію чи інформацію з будь яких питань ВПО можуть отримати, зателефонувавши в територіальну 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маду на будь-який номер телефону , або звернутись до структурного підрозділу УСЗН .При постановці на облік ВПО надаються буклети та брошури з роз’ясненням їх прав та законодавства.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Забезпечення роботи «гарячих» телефонних ліній для осіб з числа ВПО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соціального захисту населення облдержадміністрації, </w:t>
            </w:r>
          </w:p>
          <w:p w:rsidR="006B0A57" w:rsidRDefault="00E87665">
            <w:pPr>
              <w:pStyle w:val="1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Районні військові адміністрації,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Міські, селищні, сільські ради (за згодою), 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області постійно проводиться інформаційно-роз’яснювальна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 серед внутрішньо переміщених осіб, працюють телефони «гарячих ліній», де громадяни можуть отримати консультацію з нагальних питань.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сайтах обласної державної адміністрації та Департаменту соціального захисту населення обласної державної адміністра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ції розміщена актуальна інформація для внутрішньо переміщених осіб.</w:t>
            </w:r>
          </w:p>
          <w:p w:rsidR="006B0A57" w:rsidRDefault="006B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інформування населення щодо місць компактного розміщення осіб з числа ВПО, житлові програми, які діють на території області та умови у їх участі</w:t>
            </w:r>
          </w:p>
          <w:p w:rsidR="006B0A57" w:rsidRDefault="006B0A5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Департамент соціа</w:t>
            </w:r>
            <w:r>
              <w:rPr>
                <w:rFonts w:ascii="Times New Roman" w:eastAsia="Times New Roman" w:hAnsi="Times New Roman" w:cs="Times New Roman"/>
              </w:rPr>
              <w:t>льного захисту населення облдержадміністрації,</w:t>
            </w:r>
          </w:p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Районні державні адміністрації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Міські, селищні, сільські ради (за згодою), 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Розпорядженням начальника обласної військової адміністрації від 10.11.2023 № 734 (зі змінами)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тверджено Перелік місць тимчасового проживання Чернігівської області, до якого включено 9 місць тимчасового проживання внутрішньо переміщених осіб розрахованих на 1428 ліжко-місць, в яких проживає 455 осіб.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модульному містечку в с. Красне Іванівської 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льської ради, розрахованому на 36 ліжко-місць, проживає 23 особи.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Також, у місті Чернігові по вул. В. Дрозда, 24, тимчасові споруди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визнано як місця компактного поселення ВПО та включено 112 квартир до фонду житла, призначеного для тимчасового проживання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ВПО. На даний час проживає 95 сімей (195 осіб).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8 гуртожитках освітніх закладів області виділено 511 ліжко-місць для тимчасового проживання внутрішньо переміщених осіб, на даний час зайняті 52 ліжко-місця.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Інформація про місця тимчасового проживання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ВПО розміщена на сайті обласної державної адміністрації та Департаменту соціального захисту населення обласної державної адміністрації, де зазначається адреса, відповідальна особа, кількість вільних місць.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Рішенням двадцять п’ятої сесії обласної ради сьо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мого скликання                   від 28 жовтня 2020 року затверджена Обласна Програма підтримки індивідуального житлового будівництва та розвитку особистого селянського господарства «Власний дім» на 2021 – 2027 роки. Відповідно до зазначеної програми жител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ям області надана можливість отримувати довгострокові пільгові кредити на нове будівництво індивідуального житлового будинку, добудову, реконструкцію,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капітальний ремонт житла, придбання завершеного або не завершеного будівництва індивідуального житла, буд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івництво, добудову, реконструкцію підсобних господарських приміщень, інженерне облаштування житла та будівництво інженерних мереж та розвиток особистого селянського господарства. Внутрішньо переміщені особи, у разі необхідності, можуть звернутися до Черніг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івського обласного фонду підтримки індивідуального житлового будівництва на селі щодо надання пільгових кредитів за програмою «Власний дім».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всебічної підтримки внутрішньо переміщених осіб, у дев’ятнадцяти територіальних громадах області затвердже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двадцять одну місцеву програму, заходи яких спрямовані на забезпечення прав і свобод внутрішньо переміщених осіб.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24І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Проведення семінарів, тренінгів, навчань та інших інформаційно-консультаційних заходів </w:t>
            </w:r>
            <w:r>
              <w:rPr>
                <w:rFonts w:ascii="Times New Roman" w:hAnsi="Times New Roman" w:cs="Times New Roman"/>
              </w:rPr>
              <w:lastRenderedPageBreak/>
              <w:t>для суб’єктів підприєм</w:t>
            </w:r>
            <w:r>
              <w:rPr>
                <w:rFonts w:ascii="Times New Roman" w:hAnsi="Times New Roman" w:cs="Times New Roman"/>
              </w:rPr>
              <w:t>ницької діяльності та осіб, які мають намір започаткувати власну справу, у тому числі для ВПО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Департамент економічного розвитку облдержадміністрації, Державна організація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«Регіональний фонд підтримки підприємництва по Чернігівській області», 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Агенція регіо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нального розвитку Чернігівської області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реалізації обласної Програми розвитку малого і середнього підприємництва на 2021-2027 роки, Департаментом економічного розвитку облдержадміністрації спільно з Державною організацією “Регіональний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 підтримки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підприємництва по Чернігівській області” та Агенцією регіонального розвитку Чернігівської області надається постійна інформаційно - консультаційна підтримка (заходи в онлайн/офлайн режимі) діючому бізнесу та підприємцям-початківцям, а також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 вразливим на ринку праці верствам населення: ВПО, учасникам бойових дій, жінкам, жителям сільської місцевості, молоді. </w:t>
            </w:r>
          </w:p>
          <w:p w:rsidR="006B0A57" w:rsidRDefault="00E87665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Зокрема, протягом 2023 року проведено понад 60 інформаційно-консультаційних заходів для підприємців та осіб, які бажають запо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чаткувати підприємницьку діяльність (вебінари, семінари-консультації, лекції, тренінги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актуальних питань щодо: залучення державних та міжнародних грантових, кредитних коштів; змін до податкового та трудового законодавства тощо, за участі територіальних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підрозділів центральних органів виконавчої влади та структурних підрозділів обласної державної адміністрації).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реалізації програми «Студії соціального підприємництва» за сприяння Програми розвитку ООН (ПРООН) в Україні за фінансової підтримки Євр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опейського Союзу, наданої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межах проєкту «EU4Recovery – Розширення можливостей громад в Україні» у співпраці з Агенцією регіонального розвитку Чернігівської області проведено серію тренінгів з представниками громад «Стратегія та бізнес-планування соціальн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підприємництва».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оперативного інформування представників підприємництва, на офіційних сайтах Чернігівської облдержадміністрації та Департаменту економічного розвитку облдержадміністрації, а також в соціальній мережі Facebook розміщувалась інфор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мація щодо змін в законодавстві, фінансової підтримки, зокрема  грантових та кредитних державних, міжнародних програм, та інша актуальна інформація для суб’єктів господарювання. Крім того, постійно актуалізуються матеріали дайджестів щодо грантових можливо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для бізнесу, освітніх проєктів тощо.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Забезпечення охоплення базовими соціальними послугами осіб з числа </w:t>
            </w:r>
            <w:r>
              <w:rPr>
                <w:rFonts w:ascii="Times New Roman" w:hAnsi="Times New Roman" w:cs="Times New Roman"/>
              </w:rPr>
              <w:lastRenderedPageBreak/>
              <w:t>ВПО через мережу центрів надання соціальних послуг, центрів соціальних служб та фахівців із соціальної роботи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Міські, селищні, сіль</w:t>
            </w:r>
            <w:r>
              <w:rPr>
                <w:rFonts w:ascii="Times New Roman" w:hAnsi="Times New Roman" w:cs="Times New Roman"/>
              </w:rPr>
              <w:t>ські ради (за згодою)</w:t>
            </w:r>
          </w:p>
          <w:p w:rsidR="006B0A57" w:rsidRDefault="006B0A57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2023 році соціальними послугами  охоплено 3460 внутрішньо переміщених осіб, з них  2914 особи - діти до 18 років. З них, отримали послу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соціальної адаптації - 1246 осіб; соціальної інтеграції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реінтеграції – 397 осіб; екстренного (кризового) втручання – 106 осіб; консультування – 2875 осіб; соціального супроводу – 112 осіб; представництва інтересів – 1357 осіб; посередництва (медіації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399 осіб; соціальної профілактики – 1601 особа; інформування – 3386 осіб;  інші послуги – 171 особа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Забезпечення навчання працівників центрів надання соціальних послуг, центрів соціальних служб та фахівців із соціальної роботи що</w:t>
            </w:r>
            <w:r>
              <w:rPr>
                <w:rFonts w:ascii="Times New Roman" w:hAnsi="Times New Roman" w:cs="Times New Roman"/>
              </w:rPr>
              <w:t>до надання соціальних послуг особам з числа ВПО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центр соціальних служб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tabs>
                <w:tab w:val="left" w:pos="0"/>
                <w:tab w:val="left" w:pos="737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Надання соціальних послуг внутрішньо переміщеним сім’ям  забезпечується спеціалістами центрів соціальних служб, центрів надання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ціальних послуг та фахівцями із соціальної роботи територіальних громад.      </w:t>
            </w:r>
          </w:p>
          <w:p w:rsidR="006B0A57" w:rsidRDefault="00E87665">
            <w:pPr>
              <w:tabs>
                <w:tab w:val="left" w:pos="0"/>
                <w:tab w:val="left" w:pos="737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Протягом 2023 року соціальними послугами охоплено 3460 сімей, в них 5265 дорослих та 2914 дітей.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Загалом,  протягом звітного періо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ду, 112 сімей  отримали послугу соціального супроводу, 3386 – інформування,  2875 – консультування, 1357 – представництва інтересів, 1246 – соціальної адаптації.</w:t>
            </w:r>
          </w:p>
          <w:p w:rsidR="006B0A57" w:rsidRDefault="00E87665">
            <w:pPr>
              <w:tabs>
                <w:tab w:val="left" w:pos="0"/>
                <w:tab w:val="left" w:pos="737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 покращення якості надання соціальних послуг у громадах, підвищення свого професійного рів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ня щодо надання соціальних послуг вищезазначеним сім’ям,  фахівці із соціальної роботи 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спеціалісти ТГ беруть участь у навчальних семінарах, тренінгах,  які організовує обласний центр соціальних служб.           </w:t>
            </w:r>
          </w:p>
          <w:p w:rsidR="006B0A57" w:rsidRDefault="00E87665">
            <w:pPr>
              <w:tabs>
                <w:tab w:val="left" w:pos="0"/>
                <w:tab w:val="left" w:pos="737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Так, протягом 2023 року обласним центром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проведено тренінги та семінари «Перша психологічна допомога вразливим категоріям населення в умовах війни», «Психологічна допомога внутрішньо переміщеним сім’ям», «Робота з дітьми, які пережили травмуючі події», «Алгоритм надання статусу дитини, яка постра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ждала внаслідок воєнних дій та збройних конфліктів» та ін.</w:t>
            </w:r>
          </w:p>
          <w:p w:rsidR="006B0A57" w:rsidRDefault="00E87665">
            <w:pPr>
              <w:tabs>
                <w:tab w:val="left" w:pos="0"/>
                <w:tab w:val="left" w:pos="737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Також, обласним центром здійснюється інформаційно-методичне забезпечення діяльності спеціалістів, фахівців із соціальної роботи територіальних громад щодо надання соціальних послуг внутрішньо перем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іщеним сім’ям.</w:t>
            </w:r>
          </w:p>
          <w:p w:rsidR="006B0A57" w:rsidRDefault="006B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Надання особам з числа ВПО допомоги в отриманні соціальних послуг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Районні державні адміністрації</w:t>
            </w:r>
          </w:p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Міські, селищні, сільські ради</w:t>
            </w:r>
            <w:r>
              <w:rPr>
                <w:rFonts w:ascii="Times New Roman" w:hAnsi="Times New Roman" w:cs="Times New Roman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(за згодою),</w:t>
            </w:r>
          </w:p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Департамент соціального захисту населення облдержадміністрації,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громадські організації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Фахівцями із соціальної роботи центрів надання соціальних послуг, центрів соціальних служб постійно проводиться  робота щодо виявлення осіб, які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належать до вразливих груп населення або перебувають у складних життєвих обставинах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Надання особам з числа ВПО послуг підтриманого проживання в геріатричних, психо-неврологічних інтернатах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 підтриманого проживання надається в Замглайському психоневрологічному інтернаті та в Ніжинському дитячому будинку-інтернаті.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Станом на 15 січня 2024 року в закладах системи соціального захисту населення  області перебуває 7 внутрішньо переміщених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осіб, з них 1 – дитина, але вони не потребують послуги підтриманого проживання.</w:t>
            </w:r>
          </w:p>
          <w:p w:rsidR="006B0A57" w:rsidRDefault="006B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Формування актуального переліку потреб осіб з числа ВПО; надання необхідної інформаційної підтримки партнерам з розвитку; підготовка та </w:t>
            </w:r>
            <w:r>
              <w:rPr>
                <w:rFonts w:ascii="Times New Roman" w:hAnsi="Times New Roman" w:cs="Times New Roman"/>
              </w:rPr>
              <w:lastRenderedPageBreak/>
              <w:t>проведення зу</w:t>
            </w:r>
            <w:r>
              <w:rPr>
                <w:rFonts w:ascii="Times New Roman" w:hAnsi="Times New Roman" w:cs="Times New Roman"/>
              </w:rPr>
              <w:t>стрічей з партнерами з розвитку; підготовка та укладання відповідних документів про співпрацю; організація роботи з нагляду за реалізацією проектів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Департаменти облдержадміністрації:  економічного розвитку; соціального захисту населення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shd w:val="clear" w:color="auto" w:fill="FFFFFF"/>
              <w:ind w:left="-79" w:firstLine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посилення безпеки та добробуту внутрішньо переміщених осіб і постраждалого від російської агресії місцевого населення в області реалізується проект МТД «Дії та реагування територіальних громад на надзвичайні ситуації «CLEAR», в якому Чернігівська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державна адміністрація виступає  бенефіціаром, що фінансується Агентством США з міжнародного розвитку (USAID) і впроваджується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компанією Глобал Ком`юнітіз (Global Communities). </w:t>
            </w:r>
          </w:p>
          <w:p w:rsidR="006B0A57" w:rsidRDefault="00E87665">
            <w:pPr>
              <w:shd w:val="clear" w:color="auto" w:fill="FFFFFF"/>
              <w:ind w:left="-79" w:firstLine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«CLEAR» працює в 14-ти ТГ області і разом із місцевими організаціями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громадянського суспільства реалізує гуманітарні проекти у відповідь на нагальні потреби за трьома основними напрямками: надання захисту, забезпечення прихистку та доступу до санітарії та гігієни.</w:t>
            </w:r>
          </w:p>
          <w:p w:rsidR="006B0A57" w:rsidRDefault="00E87665">
            <w:pPr>
              <w:shd w:val="clear" w:color="auto" w:fill="FFFFFF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Крім того, до реалізації заходів спрямованих на відновлення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житла, захист та підтримку незахищених верств населення та ВПО на території області долучаються ще ряд міжнародних та національних організацій: Міжнародна організація з міграції (МОМ), Чеська міжнародна гуманітарна організація «Людина в біді» (PIN), Норве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зька рада у справах біженців в Україні (NRC), Агентство ООН у справах біженців, Данська рада у справах біженців в Україні (DRC), Фонд «Партнерство за сильну  Україну»,  Благодійний фонд NEW WAY, Міжнародний медичний корпус, Благодійний фонд «Право на захис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т», Благодійний фонд «Рокада», міжнародна гуманітарна організація «Medair», компанія «Rockwool», міжнародна міжнародна організація OXFAM, французька неурядова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гуманітарна організація «ACTED», Програма ООН із відновлення та розбудови миру, GER3, Help-hilfe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zur selbsthilfe тощо.</w:t>
            </w:r>
          </w:p>
          <w:p w:rsidR="006B0A57" w:rsidRDefault="00E87665">
            <w:pPr>
              <w:shd w:val="clear" w:color="auto" w:fill="FFFFFF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Також, у співпраці Чернігівської міської ради з представництвом Міжнародного Червоного Хреста, у м. Чернігів збудовано 7 двоповерхових багатоквартирних модульних житлових будинки (112 квартир: 84 – однокімнатні (28,7 м²), 28 – двокімн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атні (38,6 м²), які розраховані для проживання 240 осіб.</w:t>
            </w:r>
          </w:p>
          <w:p w:rsidR="006B0A57" w:rsidRDefault="00E87665">
            <w:pPr>
              <w:shd w:val="clear" w:color="auto" w:fill="FFFFFF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 з тим, громадянин Швейцарії Андреас Сайц надав тимчасові споруди для життєзабезпечення постраждалого населення (модульне містечко) в с. Красне Іванівської сільської громади Чернігівської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Крім того, здійснювалося формування актуального переліку потреб області (в т.ч. ВПО) у відновленні та міжнародній допомозі, який розповсюджувався серед міжнародних організацій для залучення відповідної допомоги та координації дій партнерів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Прийняття місцевих програм щодо надання </w:t>
            </w:r>
            <w:r>
              <w:rPr>
                <w:rFonts w:ascii="Times New Roman" w:hAnsi="Times New Roman" w:cs="Times New Roman"/>
              </w:rPr>
              <w:lastRenderedPageBreak/>
              <w:t>матеріальної підтримки, створення фондів тимчасового проживання для осіб з числа ВПО та соціального житла</w:t>
            </w:r>
          </w:p>
          <w:p w:rsidR="006B0A57" w:rsidRDefault="006B0A5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6B0A57" w:rsidRDefault="006B0A5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Міські, селищні, сільські ради  (за згодою) </w:t>
            </w: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всебічної підтримки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рішньо переміщених осіб, у дев’ятнадцяти територіальних громадах області затверджено двадцять одну місцеву програму,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заходи яких спрямовані на забезпечення прав і свобод внутрішньо переміщених осіб.</w:t>
            </w:r>
          </w:p>
          <w:p w:rsidR="006B0A57" w:rsidRDefault="00E876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Громадами області вживаються заходи щодо створення фондів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житла призначених для тимчасового проживання внутрішньо переміщених осіб. </w:t>
            </w:r>
          </w:p>
          <w:p w:rsidR="006B0A57" w:rsidRDefault="00E876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Так, у м. Чернігові до фонду житла, призначеного для тимчасового проживання внутрішньо переміщених осіб, включено 129 кімнат у гуртожитках освітніх закладів та 112 житлових приміще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 у тимчасових спорудах. Також, у Бахмацькій та Бобровицькій громадах до фонду житла для тимчасового проживання включено по одному житловому приміщенню.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Крім того, розпорядженням начальника обласної військової адміністрації від 08.06.2023 № 350 затверджен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обласна Програма підтримки внутрішньо переміщених осіб у Чернігівській області на 2023-2024 роки. Заходи Програми спрямовані на розв’язання основних проблем внутрішньо переміщених осіб, які зареєстровані та перебувають на території Чернігівської області,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зокрема, вирішення питання забезпечення тимчасовим житлом, забезпечення соціальної, медичної підтримки,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на освіту, сприяння у працевлаштуванні тощо.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417" w:type="dxa"/>
          </w:tcPr>
          <w:p w:rsidR="006B0A57" w:rsidRDefault="00E87665">
            <w:pPr>
              <w:tabs>
                <w:tab w:val="left" w:pos="318"/>
              </w:tabs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Здійснення прийому документів та відбору громадян, які мають право на отримання державного довготермінового кредиту та підготовка рішень про надання молодим сім’ям пільгових довготермінових кредитів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сім’ї, молоді та спорту облдержадміністрації,</w:t>
            </w:r>
            <w:r>
              <w:rPr>
                <w:rFonts w:ascii="Times New Roman" w:hAnsi="Times New Roman" w:cs="Times New Roman"/>
              </w:rPr>
              <w:t xml:space="preserve"> Державна спеціалізована фінансова установа «Державний фонд сприяння молодіжному житловому будівництву», 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міські, селищні, сільські ради  (за згодою)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Здійснювалися заходи щодо популяризації Програми розвитку моло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діжного житлового кредитування у Чернігівській області на 2021-2025 роки,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затвердженої рішенням другої (позачергової) сесії восьмого скликання Чернігівської обласної ради від 26 січня 2021 року № 25-2/VІІІ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інформування про існуючі можливості покращення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житлових умов громадян. 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Надано 18 консультацій.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з відсутністю фінансування у 2023 році рішення щодо надання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молодим громадянам пільгових довготермінових кредитів за рахунок коштів обласного бюджету не приймались.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6B0A57" w:rsidRDefault="00E87665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молодим сім’ям піль</w:t>
            </w:r>
            <w:r>
              <w:rPr>
                <w:rFonts w:ascii="Times New Roman" w:hAnsi="Times New Roman" w:cs="Times New Roman"/>
              </w:rPr>
              <w:t>гових довготермінових кредитів на будівництво (реконструкцію) і придбання житла</w:t>
            </w:r>
          </w:p>
          <w:p w:rsidR="006B0A57" w:rsidRDefault="006B0A5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Департамент сім’ї, молоді та спорту облдержадміністрації, Державна спеціалізована фінансова установа «Державний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фонд сприяння молодіжному житловому будівництву», 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міські, сели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щні, сільські ради  (за згодою)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Пільгові кредити не надавались у зв’язку з відсутністю фінансування через повномасштабне вторгнення російської федерації на територію України.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lang w:eastAsia="uk-UA"/>
              </w:rPr>
              <w:t>Проведення консульта</w:t>
            </w:r>
            <w:r>
              <w:rPr>
                <w:rFonts w:ascii="Times New Roman" w:hAnsi="Times New Roman" w:cs="Times New Roman"/>
                <w:lang w:eastAsia="uk-UA"/>
              </w:rPr>
              <w:t>цій з питань відновлення документів, звільнення з роботи на тимчасово окупованій території, встановлення факту смерті чи народження на тимчасово окупованій території</w:t>
            </w:r>
          </w:p>
        </w:tc>
        <w:tc>
          <w:tcPr>
            <w:tcW w:w="1418" w:type="dxa"/>
          </w:tcPr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Центри з надання безоплатної вторинної правової допомоги, </w:t>
            </w:r>
          </w:p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районні державні адміністра</w:t>
            </w:r>
            <w:r>
              <w:rPr>
                <w:rFonts w:ascii="Times New Roman" w:eastAsia="Times New Roman" w:hAnsi="Times New Roman" w:cs="Times New Roman"/>
              </w:rPr>
              <w:t>ції (за згодою),</w:t>
            </w:r>
          </w:p>
          <w:p w:rsidR="006B0A57" w:rsidRDefault="00E87665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 (за згодою)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Ніжинським місцевим центром з надання безоплатної вторинної правової допомоги забезпечено  роботу  виїзних консультаційних пунктів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відділах державної реєстрації актів цивільного стану у Ніжинському та Прилуцькому районах, відділах Державної міграційної служби, центрах надання адміністративних послуг, відділах Державної виконавчої служби, відділах обслуговування громадян УПФУ, відділах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соціальної підтримки громадян УСЗН, відділах сприяння зайнятості, центрах надання соціальних послуг, територіальних центрах, секторах філії ДУ «Центр пробації» у Чернігівській області.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Протягом 2023 року здійснено 360 виїздів.</w:t>
            </w:r>
          </w:p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Менським місцевим центром з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надання безоплатної вторинної правової допомоги з забезпечено надання безоплатної первинної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правничої допомоги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79 внутрішньо переміщеним  особам.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Протягом 2023 року проводилися правопросвітницькі заходи за тематикою прав та пільг ВПО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секторах філії ДУ «Це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 пробації» у Чернігівській області, відділах сприяння зайнятості, навчальних закладах, раіо-ефіри на хвилі  «Короп ФМ»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Чернігівським місцевим центром з надання безоплатної вторинної правової допомоги забезпечено надання безоплатної первинної правничої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допомоги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231 внутрішньо переміщеним  особам.</w:t>
            </w:r>
          </w:p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Протягом 2023 року проводилися правопросвітницькі заходи за тематикою прав та пільг ВПО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центрах надання адміністративних послуг, відділах Державної виконавчої служби, відділах обслуговування громадян УПФУ,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ділах соціальної підтримки громадян УСЗН, відділах сприяння зайнятості, центрах надання соціальних послуг, територіальних центрах, секторах філії ДУ «Центр пробації» у Чернігівській області раіо-ефіри на Українському радіо «Чернігівська хвиля»).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Допомога в написанні позовних заяв, скарг до судових органів </w:t>
            </w:r>
            <w:r>
              <w:rPr>
                <w:rFonts w:ascii="Times New Roman" w:hAnsi="Times New Roman" w:cs="Times New Roman"/>
                <w:lang w:eastAsia="uk-UA"/>
              </w:rPr>
              <w:lastRenderedPageBreak/>
              <w:t>особам, які перемістились  з тимчасово окупованих територій у Чернігівську область та особам з числа ВПО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Центри з надання безоплатної вторинної правової </w:t>
            </w:r>
            <w:r>
              <w:rPr>
                <w:rFonts w:ascii="Times New Roman" w:hAnsi="Times New Roman" w:cs="Times New Roman"/>
              </w:rPr>
              <w:lastRenderedPageBreak/>
              <w:t>допомоги (за згодою)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Ніжинського місцевого центру  з надання безоплатної вторинної правової допомоги  за безоплатною вторинною правничою допомогою звернулася 51 внутрішньо переміщена особа.</w:t>
            </w:r>
          </w:p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Менським місцевим центром з надання безоплатної вторинної правової допомоги забезпеч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ено надання безоплатної вторинної правничої допомоги 48 внутрішньо переміщеним  особам</w:t>
            </w:r>
          </w:p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Чернігівським місцевим центром з надання безоплатної вторинної правової допомоги Забезпечено надання безоплатної вторинної правничої допомоги 48 внутрішньо переміщеним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особам</w:t>
            </w:r>
          </w:p>
          <w:p w:rsidR="006B0A57" w:rsidRDefault="00E87665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Постійно здійснюється захист у кримінальному, адміністративному проваджені шляхом залучення адвоката; представництво інтересів у судах,  інших державних органах, органах місцевого самоврядування, перед іншими особами; складення документів процесуаль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характеру.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Забезпечення осіб з числа ВПО </w:t>
            </w:r>
            <w:r>
              <w:rPr>
                <w:rFonts w:ascii="Times New Roman" w:hAnsi="Times New Roman" w:cs="Times New Roman"/>
              </w:rPr>
              <w:t xml:space="preserve">харчовими наборами, санітарно-гігієнічними наборами, засобами тривалого використання 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Міські, селищні, сільські ради (за згодою),</w:t>
            </w:r>
          </w:p>
          <w:p w:rsidR="006B0A57" w:rsidRDefault="00E87665">
            <w:pPr>
              <w:pStyle w:val="15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громадські організації</w:t>
            </w: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Проводиться щомісячний збір та уза</w:t>
            </w:r>
            <w:r>
              <w:rPr>
                <w:rFonts w:ascii="Times New Roman" w:hAnsi="Times New Roman"/>
              </w:rPr>
              <w:t>гальнення інформації щодо потреб для забезпечення належних умов проживання ВПО, де збирається інформація з територіальних громад про потреби в речах, санітарно-гігієнічних засобах, продуктах харчування, технічних засобах для освітнього процесу внутрішньо п</w:t>
            </w:r>
            <w:r>
              <w:rPr>
                <w:rFonts w:ascii="Times New Roman" w:hAnsi="Times New Roman"/>
              </w:rPr>
              <w:t>ереміщених осіб.</w:t>
            </w:r>
          </w:p>
          <w:p w:rsidR="006B0A57" w:rsidRDefault="00E87665">
            <w:pPr>
              <w:pStyle w:val="34"/>
              <w:tabs>
                <w:tab w:val="left" w:pos="0"/>
              </w:tabs>
              <w:spacing w:after="0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 території громад діють пункти видачі гуманітарної допомоги, де ВПО забезпечуються продуктами харчування, засобами гігієни, одягом, взуттям.</w:t>
            </w:r>
          </w:p>
          <w:p w:rsidR="006B0A57" w:rsidRDefault="00E876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звітного року  особи  з числа ВПО отримали гуманітарну допомогу у вигляді продуктових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аборів, наборів гігієни, ковдр, канцелярії, матраців, наборів посуду тощо.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417" w:type="dxa"/>
          </w:tcPr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Організація працевлаштування шукачів роботи та безробітних </w:t>
            </w:r>
            <w:r>
              <w:rPr>
                <w:rFonts w:ascii="Times New Roman" w:hAnsi="Times New Roman" w:cs="Times New Roman"/>
              </w:rPr>
              <w:t>ВПО</w:t>
            </w:r>
            <w:r>
              <w:rPr>
                <w:rFonts w:ascii="Times New Roman" w:hAnsi="Times New Roman" w:cs="Times New Roman"/>
                <w:lang w:eastAsia="uk-UA"/>
              </w:rPr>
              <w:t xml:space="preserve"> на вільні робочі місця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центр зайнятості (за згодою)</w:t>
            </w:r>
          </w:p>
          <w:p w:rsidR="006B0A57" w:rsidRDefault="006B0A57">
            <w:pPr>
              <w:pStyle w:val="25"/>
              <w:shd w:val="clear" w:color="auto" w:fill="auto"/>
              <w:spacing w:line="216" w:lineRule="auto"/>
              <w:ind w:left="-108"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  <w:vAlign w:val="center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 2023 рік за сприяння служби за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йнятості було працевлаштовано 213 осіб з числа ВПО, з них 17 осіб працевлаштовані з компенсацією витрат роботодавцю на оплату праці, 15 осіб брали учать у громадських роботах та роботах тимчасового характеру, 21 безробітний з числа внутрішньо переміщених 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сіб проходив  профнавчання за замовленням роботодавців.</w:t>
            </w:r>
          </w:p>
        </w:tc>
      </w:tr>
      <w:tr w:rsidR="006B0A57">
        <w:trPr>
          <w:gridAfter w:val="1"/>
          <w:wAfter w:w="56" w:type="dxa"/>
          <w:trHeight w:val="227"/>
        </w:trPr>
        <w:tc>
          <w:tcPr>
            <w:tcW w:w="534" w:type="dxa"/>
          </w:tcPr>
          <w:p w:rsidR="006B0A57" w:rsidRDefault="00E8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6B0A57" w:rsidRDefault="00E87665">
            <w:pPr>
              <w:pStyle w:val="1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Реалізація програм компенсування витрат роботодавців на оплату праці та єдиний внесок на загальнообов’язкове державне соціальне страхування за працевлашт</w:t>
            </w:r>
            <w:r>
              <w:rPr>
                <w:rFonts w:ascii="Times New Roman" w:hAnsi="Times New Roman" w:cs="Times New Roman"/>
              </w:rPr>
              <w:lastRenderedPageBreak/>
              <w:t>ування безробітних:</w:t>
            </w:r>
          </w:p>
          <w:p w:rsidR="006B0A57" w:rsidRDefault="00E87665">
            <w:pPr>
              <w:pStyle w:val="1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компенсація робото</w:t>
            </w:r>
            <w:r>
              <w:rPr>
                <w:rFonts w:ascii="Times New Roman" w:hAnsi="Times New Roman" w:cs="Times New Roman"/>
              </w:rPr>
              <w:t>давцю витрат на оплату праці за працевлаштування  внутрішньо переміщених осіб внаслідок проведення бойових дій під час воєнного стану в Україні;</w:t>
            </w:r>
          </w:p>
          <w:p w:rsidR="006B0A57" w:rsidRDefault="00E8766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- компенсація витрат роботодавця на оплату праці за працевлаштування внутрішньо переміщених осіб на умовах стро</w:t>
            </w:r>
            <w:r>
              <w:rPr>
                <w:rFonts w:ascii="Times New Roman" w:hAnsi="Times New Roman" w:cs="Times New Roman"/>
              </w:rPr>
              <w:t>кового трудового договору</w:t>
            </w:r>
          </w:p>
        </w:tc>
        <w:tc>
          <w:tcPr>
            <w:tcW w:w="1418" w:type="dxa"/>
          </w:tcPr>
          <w:p w:rsidR="006B0A57" w:rsidRDefault="00E8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Обласний центр зайнятості (за згодою)</w:t>
            </w:r>
          </w:p>
        </w:tc>
        <w:tc>
          <w:tcPr>
            <w:tcW w:w="283" w:type="dxa"/>
          </w:tcPr>
          <w:p w:rsidR="006B0A57" w:rsidRDefault="006B0A57"/>
        </w:tc>
        <w:tc>
          <w:tcPr>
            <w:tcW w:w="370" w:type="dxa"/>
          </w:tcPr>
          <w:p w:rsidR="006B0A57" w:rsidRDefault="006B0A57"/>
        </w:tc>
        <w:tc>
          <w:tcPr>
            <w:tcW w:w="996" w:type="dxa"/>
            <w:gridSpan w:val="2"/>
          </w:tcPr>
          <w:p w:rsidR="006B0A57" w:rsidRDefault="006B0A57"/>
        </w:tc>
        <w:tc>
          <w:tcPr>
            <w:tcW w:w="1281" w:type="dxa"/>
            <w:gridSpan w:val="2"/>
          </w:tcPr>
          <w:p w:rsidR="006B0A57" w:rsidRDefault="006B0A57"/>
        </w:tc>
        <w:tc>
          <w:tcPr>
            <w:tcW w:w="712" w:type="dxa"/>
            <w:gridSpan w:val="2"/>
          </w:tcPr>
          <w:p w:rsidR="006B0A57" w:rsidRDefault="006B0A57"/>
        </w:tc>
        <w:tc>
          <w:tcPr>
            <w:tcW w:w="625" w:type="dxa"/>
            <w:gridSpan w:val="3"/>
          </w:tcPr>
          <w:p w:rsidR="006B0A57" w:rsidRDefault="006B0A57"/>
        </w:tc>
        <w:tc>
          <w:tcPr>
            <w:tcW w:w="318" w:type="dxa"/>
            <w:gridSpan w:val="2"/>
          </w:tcPr>
          <w:p w:rsidR="006B0A57" w:rsidRDefault="006B0A57"/>
        </w:tc>
        <w:tc>
          <w:tcPr>
            <w:tcW w:w="320" w:type="dxa"/>
          </w:tcPr>
          <w:p w:rsidR="006B0A57" w:rsidRDefault="006B0A57"/>
        </w:tc>
        <w:tc>
          <w:tcPr>
            <w:tcW w:w="1183" w:type="dxa"/>
            <w:gridSpan w:val="2"/>
          </w:tcPr>
          <w:p w:rsidR="006B0A57" w:rsidRDefault="006B0A57"/>
        </w:tc>
        <w:tc>
          <w:tcPr>
            <w:tcW w:w="1463" w:type="dxa"/>
            <w:gridSpan w:val="3"/>
          </w:tcPr>
          <w:p w:rsidR="006B0A57" w:rsidRDefault="006B0A57"/>
        </w:tc>
        <w:tc>
          <w:tcPr>
            <w:tcW w:w="606" w:type="dxa"/>
          </w:tcPr>
          <w:p w:rsidR="006B0A57" w:rsidRDefault="006B0A57"/>
        </w:tc>
        <w:tc>
          <w:tcPr>
            <w:tcW w:w="602" w:type="dxa"/>
            <w:gridSpan w:val="2"/>
          </w:tcPr>
          <w:p w:rsidR="006B0A57" w:rsidRDefault="006B0A57"/>
        </w:tc>
        <w:tc>
          <w:tcPr>
            <w:tcW w:w="3942" w:type="dxa"/>
            <w:gridSpan w:val="2"/>
          </w:tcPr>
          <w:p w:rsidR="006B0A57" w:rsidRDefault="00E87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2015 року служба зайнятості займається реалізацією заходів сприяння зайнятості внутрішньо переміщених осіб, передбачених статтею 24¹ Закону України «Про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йнятість населення» та «Порядком здійснення заходів сприяння зайнятості внутрішньо переміщених осіб», затвердженого  постановою КМУ №696 від 08.09.2015 року. Цією програмою передбачено відшкодування роботодавцям фактичних витрат на оплату праці за працевла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штування по направленню служби зайнятості на умовах строкових трудових договорів зареєстрованих безробітних з числа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ВПО. У 2023 році у такий спосіб були працевлаштовані  17 безробітних осіб.</w:t>
            </w:r>
          </w:p>
        </w:tc>
      </w:tr>
    </w:tbl>
    <w:p w:rsidR="006B0A57" w:rsidRDefault="006B0A57">
      <w:pPr>
        <w:rPr>
          <w:color w:val="FF0000"/>
        </w:rPr>
      </w:pPr>
    </w:p>
    <w:sectPr w:rsidR="006B0A57">
      <w:pgSz w:w="16838" w:h="11906" w:orient="landscape"/>
      <w:pgMar w:top="1554" w:right="850" w:bottom="850" w:left="850" w:header="73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665" w:rsidRDefault="00E87665">
      <w:pPr>
        <w:spacing w:after="0" w:line="240" w:lineRule="auto"/>
      </w:pPr>
      <w:r>
        <w:separator/>
      </w:r>
    </w:p>
  </w:endnote>
  <w:endnote w:type="continuationSeparator" w:id="0">
    <w:p w:rsidR="00E87665" w:rsidRDefault="00E8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665" w:rsidRDefault="00E87665">
      <w:pPr>
        <w:spacing w:after="0" w:line="240" w:lineRule="auto"/>
      </w:pPr>
      <w:r>
        <w:separator/>
      </w:r>
    </w:p>
  </w:footnote>
  <w:footnote w:type="continuationSeparator" w:id="0">
    <w:p w:rsidR="00E87665" w:rsidRDefault="00E87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60939"/>
    <w:multiLevelType w:val="hybridMultilevel"/>
    <w:tmpl w:val="22C89E62"/>
    <w:lvl w:ilvl="0" w:tplc="87BE0D24">
      <w:start w:val="1"/>
      <w:numFmt w:val="decimal"/>
      <w:lvlText w:val="%1."/>
      <w:lvlJc w:val="left"/>
      <w:pPr>
        <w:ind w:left="720" w:hanging="360"/>
      </w:pPr>
    </w:lvl>
    <w:lvl w:ilvl="1" w:tplc="9EB27980">
      <w:start w:val="1"/>
      <w:numFmt w:val="lowerLetter"/>
      <w:lvlText w:val="%2."/>
      <w:lvlJc w:val="left"/>
      <w:pPr>
        <w:ind w:left="1440" w:hanging="360"/>
      </w:pPr>
    </w:lvl>
    <w:lvl w:ilvl="2" w:tplc="B76EA934">
      <w:start w:val="1"/>
      <w:numFmt w:val="lowerRoman"/>
      <w:lvlText w:val="%3."/>
      <w:lvlJc w:val="right"/>
      <w:pPr>
        <w:ind w:left="2160" w:hanging="180"/>
      </w:pPr>
    </w:lvl>
    <w:lvl w:ilvl="3" w:tplc="E1FE6D74">
      <w:start w:val="1"/>
      <w:numFmt w:val="decimal"/>
      <w:lvlText w:val="%4."/>
      <w:lvlJc w:val="left"/>
      <w:pPr>
        <w:ind w:left="2880" w:hanging="360"/>
      </w:pPr>
    </w:lvl>
    <w:lvl w:ilvl="4" w:tplc="7C565DAA">
      <w:start w:val="1"/>
      <w:numFmt w:val="lowerLetter"/>
      <w:lvlText w:val="%5."/>
      <w:lvlJc w:val="left"/>
      <w:pPr>
        <w:ind w:left="3600" w:hanging="360"/>
      </w:pPr>
    </w:lvl>
    <w:lvl w:ilvl="5" w:tplc="A544A77A">
      <w:start w:val="1"/>
      <w:numFmt w:val="lowerRoman"/>
      <w:lvlText w:val="%6."/>
      <w:lvlJc w:val="right"/>
      <w:pPr>
        <w:ind w:left="4320" w:hanging="180"/>
      </w:pPr>
    </w:lvl>
    <w:lvl w:ilvl="6" w:tplc="9D80C7D6">
      <w:start w:val="1"/>
      <w:numFmt w:val="decimal"/>
      <w:lvlText w:val="%7."/>
      <w:lvlJc w:val="left"/>
      <w:pPr>
        <w:ind w:left="5040" w:hanging="360"/>
      </w:pPr>
    </w:lvl>
    <w:lvl w:ilvl="7" w:tplc="18ACFFDE">
      <w:start w:val="1"/>
      <w:numFmt w:val="lowerLetter"/>
      <w:lvlText w:val="%8."/>
      <w:lvlJc w:val="left"/>
      <w:pPr>
        <w:ind w:left="5760" w:hanging="360"/>
      </w:pPr>
    </w:lvl>
    <w:lvl w:ilvl="8" w:tplc="86D057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A56AD"/>
    <w:multiLevelType w:val="hybridMultilevel"/>
    <w:tmpl w:val="C2F0EC80"/>
    <w:lvl w:ilvl="0" w:tplc="889EA60E">
      <w:start w:val="1"/>
      <w:numFmt w:val="decimal"/>
      <w:lvlText w:val="%1."/>
      <w:lvlJc w:val="left"/>
      <w:pPr>
        <w:ind w:left="720" w:hanging="360"/>
      </w:pPr>
    </w:lvl>
    <w:lvl w:ilvl="1" w:tplc="DA882730">
      <w:start w:val="1"/>
      <w:numFmt w:val="lowerLetter"/>
      <w:lvlText w:val="%2."/>
      <w:lvlJc w:val="left"/>
      <w:pPr>
        <w:ind w:left="1440" w:hanging="360"/>
      </w:pPr>
    </w:lvl>
    <w:lvl w:ilvl="2" w:tplc="C1BCC3CA">
      <w:start w:val="1"/>
      <w:numFmt w:val="lowerRoman"/>
      <w:lvlText w:val="%3."/>
      <w:lvlJc w:val="right"/>
      <w:pPr>
        <w:ind w:left="2160" w:hanging="180"/>
      </w:pPr>
    </w:lvl>
    <w:lvl w:ilvl="3" w:tplc="CC323AA8">
      <w:start w:val="1"/>
      <w:numFmt w:val="decimal"/>
      <w:lvlText w:val="%4."/>
      <w:lvlJc w:val="left"/>
      <w:pPr>
        <w:ind w:left="2880" w:hanging="360"/>
      </w:pPr>
    </w:lvl>
    <w:lvl w:ilvl="4" w:tplc="BD20F884">
      <w:start w:val="1"/>
      <w:numFmt w:val="lowerLetter"/>
      <w:lvlText w:val="%5."/>
      <w:lvlJc w:val="left"/>
      <w:pPr>
        <w:ind w:left="3600" w:hanging="360"/>
      </w:pPr>
    </w:lvl>
    <w:lvl w:ilvl="5" w:tplc="8E307472">
      <w:start w:val="1"/>
      <w:numFmt w:val="lowerRoman"/>
      <w:lvlText w:val="%6."/>
      <w:lvlJc w:val="right"/>
      <w:pPr>
        <w:ind w:left="4320" w:hanging="180"/>
      </w:pPr>
    </w:lvl>
    <w:lvl w:ilvl="6" w:tplc="AD844F72">
      <w:start w:val="1"/>
      <w:numFmt w:val="decimal"/>
      <w:lvlText w:val="%7."/>
      <w:lvlJc w:val="left"/>
      <w:pPr>
        <w:ind w:left="5040" w:hanging="360"/>
      </w:pPr>
    </w:lvl>
    <w:lvl w:ilvl="7" w:tplc="4D96F604">
      <w:start w:val="1"/>
      <w:numFmt w:val="lowerLetter"/>
      <w:lvlText w:val="%8."/>
      <w:lvlJc w:val="left"/>
      <w:pPr>
        <w:ind w:left="5760" w:hanging="360"/>
      </w:pPr>
    </w:lvl>
    <w:lvl w:ilvl="8" w:tplc="9E5476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77D09"/>
    <w:multiLevelType w:val="hybridMultilevel"/>
    <w:tmpl w:val="4D4CEAF4"/>
    <w:lvl w:ilvl="0" w:tplc="44EA575A">
      <w:start w:val="1"/>
      <w:numFmt w:val="decimal"/>
      <w:lvlText w:val="%1."/>
      <w:lvlJc w:val="left"/>
      <w:pPr>
        <w:ind w:left="720" w:hanging="360"/>
      </w:pPr>
    </w:lvl>
    <w:lvl w:ilvl="1" w:tplc="8306E072">
      <w:start w:val="1"/>
      <w:numFmt w:val="lowerLetter"/>
      <w:lvlText w:val="%2."/>
      <w:lvlJc w:val="left"/>
      <w:pPr>
        <w:ind w:left="1440" w:hanging="360"/>
      </w:pPr>
    </w:lvl>
    <w:lvl w:ilvl="2" w:tplc="F96EA432">
      <w:start w:val="1"/>
      <w:numFmt w:val="lowerRoman"/>
      <w:lvlText w:val="%3."/>
      <w:lvlJc w:val="right"/>
      <w:pPr>
        <w:ind w:left="2160" w:hanging="180"/>
      </w:pPr>
    </w:lvl>
    <w:lvl w:ilvl="3" w:tplc="874AC58E">
      <w:start w:val="1"/>
      <w:numFmt w:val="decimal"/>
      <w:lvlText w:val="%4."/>
      <w:lvlJc w:val="left"/>
      <w:pPr>
        <w:ind w:left="2880" w:hanging="360"/>
      </w:pPr>
    </w:lvl>
    <w:lvl w:ilvl="4" w:tplc="851C2B8A">
      <w:start w:val="1"/>
      <w:numFmt w:val="lowerLetter"/>
      <w:lvlText w:val="%5."/>
      <w:lvlJc w:val="left"/>
      <w:pPr>
        <w:ind w:left="3600" w:hanging="360"/>
      </w:pPr>
    </w:lvl>
    <w:lvl w:ilvl="5" w:tplc="DBDC36BE">
      <w:start w:val="1"/>
      <w:numFmt w:val="lowerRoman"/>
      <w:lvlText w:val="%6."/>
      <w:lvlJc w:val="right"/>
      <w:pPr>
        <w:ind w:left="4320" w:hanging="180"/>
      </w:pPr>
    </w:lvl>
    <w:lvl w:ilvl="6" w:tplc="8196B7E0">
      <w:start w:val="1"/>
      <w:numFmt w:val="decimal"/>
      <w:lvlText w:val="%7."/>
      <w:lvlJc w:val="left"/>
      <w:pPr>
        <w:ind w:left="5040" w:hanging="360"/>
      </w:pPr>
    </w:lvl>
    <w:lvl w:ilvl="7" w:tplc="BD74AB78">
      <w:start w:val="1"/>
      <w:numFmt w:val="lowerLetter"/>
      <w:lvlText w:val="%8."/>
      <w:lvlJc w:val="left"/>
      <w:pPr>
        <w:ind w:left="5760" w:hanging="360"/>
      </w:pPr>
    </w:lvl>
    <w:lvl w:ilvl="8" w:tplc="A39E55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57"/>
    <w:rsid w:val="000B6B1D"/>
    <w:rsid w:val="003915F9"/>
    <w:rsid w:val="006B0A57"/>
    <w:rsid w:val="00E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C0005-CFF6-4CED-8AA2-B7F14637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semiHidden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  <w:semiHidden/>
  </w:style>
  <w:style w:type="paragraph" w:styleId="afa">
    <w:name w:val="footer"/>
    <w:basedOn w:val="a"/>
    <w:link w:val="afb"/>
    <w:uiPriority w:val="99"/>
    <w:semiHidden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  <w:semiHidden/>
  </w:style>
  <w:style w:type="character" w:customStyle="1" w:styleId="24">
    <w:name w:val="Основний текст (2)_"/>
    <w:link w:val="25"/>
    <w:rPr>
      <w:sz w:val="28"/>
      <w:szCs w:val="28"/>
      <w:shd w:val="clear" w:color="auto" w:fill="FFFFFF"/>
    </w:rPr>
  </w:style>
  <w:style w:type="paragraph" w:customStyle="1" w:styleId="25">
    <w:name w:val="Основний текст (2)"/>
    <w:basedOn w:val="a"/>
    <w:link w:val="24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15">
    <w:name w:val="Звичайний1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customStyle="1" w:styleId="rvps12">
    <w:name w:val="rvps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">
    <w:name w:val="Обычный1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fc">
    <w:name w:val="Body Text"/>
    <w:basedOn w:val="a"/>
    <w:link w:val="af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ий текст Знак"/>
    <w:basedOn w:val="a0"/>
    <w:link w:val="a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rvts82">
    <w:name w:val="rvts82"/>
    <w:basedOn w:val="a0"/>
  </w:style>
  <w:style w:type="paragraph" w:styleId="aff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4">
    <w:name w:val="Body Text Indent 3"/>
    <w:basedOn w:val="a"/>
    <w:link w:val="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ий текст з відступом 3 Знак"/>
    <w:basedOn w:val="a0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aff0">
    <w:name w:val="Нормальний текст"/>
    <w:basedOn w:val="a"/>
    <w:pP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uk-UA" w:eastAsia="uk-UA" w:bidi="uk-UA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у виносці Знак"/>
    <w:basedOn w:val="a0"/>
    <w:link w:val="aff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BBEAE18-BB71-4BD5-8F85-D243EBA2B5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28290</Words>
  <Characters>16126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it2</dc:creator>
  <cp:lastModifiedBy>NGO-OPERATOR2</cp:lastModifiedBy>
  <cp:revision>2</cp:revision>
  <dcterms:created xsi:type="dcterms:W3CDTF">2024-01-25T11:50:00Z</dcterms:created>
  <dcterms:modified xsi:type="dcterms:W3CDTF">2024-01-25T11:50:00Z</dcterms:modified>
</cp:coreProperties>
</file>